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LICENSE AND PERMIT DIVISION</w:t>
      </w:r>
    </w:p>
    <w:p>
      <w:pPr>
        <w:spacing w:before="0" w:after="0"/>
        <w:ind w:left="120"/>
        <w:jc w:val="center"/>
      </w:pPr>
      <w:r>
        <w:rPr>
          <w:rFonts w:ascii="Times New Roman" w:hAnsi="Times New Roman"/>
          <w:b w:val="false"/>
          <w:i w:val="false"/>
          <w:color w:val="000000"/>
          <w:sz w:val="14"/>
        </w:rPr>
        <w:t>[Ch 5, IAC 7/1/75 renumbered Ch 6, IAC 3/7/79]</w:t>
      </w:r>
    </w:p>
    <w:p>
      <w:pPr>
        <w:spacing w:before="0" w:after="0"/>
        <w:ind w:left="120"/>
        <w:jc w:val="center"/>
      </w:pPr>
      <w:r>
        <w:rPr>
          <w:rFonts w:ascii="Times New Roman" w:hAnsi="Times New Roman"/>
          <w:b w:val="false"/>
          <w:i w:val="false"/>
          <w:color w:val="000000"/>
          <w:sz w:val="14"/>
        </w:rPr>
        <w:t>[Prior to 10/8/86, Beer and Liquor Control Department [150]]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185—5.1</w:t>
      </w:r>
      <w:r>
        <w:rPr>
          <w:rFonts w:ascii="Times New Roman" w:hAnsi="Times New Roman"/>
          <w:b/>
          <w:i w:val="false"/>
          <w:color w:val="000000"/>
          <w:sz w:val="22"/>
        </w:rPr>
        <w:t xml:space="preserve">(123) </w:t>
      </w:r>
      <w:r>
        <w:rPr>
          <w:rFonts w:ascii="Times New Roman" w:hAnsi="Times New Roman"/>
          <w:b/>
          <w:i w:val="false"/>
          <w:color w:val="000000"/>
          <w:sz w:val="22"/>
        </w:rPr>
        <w:t xml:space="preserve">Manufacture and sale of native wine. </w:t>
      </w:r>
      <w:r>
        <w:rPr>
          <w:rFonts w:ascii="Times New Roman" w:hAnsi="Times New Roman"/>
          <w:b w:val="false"/>
          <w:i w:val="false"/>
          <w:color w:val="000000"/>
          <w:sz w:val="22"/>
        </w:rPr>
        <w:t xml:space="preserve">Manufacturers of native wine as defined in Iowa Code section </w:t>
      </w:r>
      <w:hyperlink r:id="rId5">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 xml:space="preserve"> may sell, keep or offer for sale and deliver their native wine subject to the following regulations and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Class “A” native wine permit. </w:t>
      </w:r>
      <w:r>
        <w:rPr>
          <w:rFonts w:ascii="Times New Roman" w:hAnsi="Times New Roman"/>
          <w:b w:val="false"/>
          <w:i w:val="false"/>
          <w:color w:val="000000"/>
          <w:sz w:val="22"/>
        </w:rPr>
        <w:t xml:space="preserve">A manufacturer of native wine must display the original or a copy of its class “A” native wine permit in each of its native wineries and in each of its retail establishments. A manufacturer of native wine must register its retail establishment on forms or systems provided by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Monthly combined wine production and wine gallonage tax report. </w:t>
      </w:r>
      <w:r>
        <w:rPr>
          <w:rFonts w:ascii="Times New Roman" w:hAnsi="Times New Roman"/>
          <w:b w:val="false"/>
          <w:i w:val="false"/>
          <w:color w:val="000000"/>
          <w:sz w:val="22"/>
        </w:rPr>
        <w:t>A monthly report is required showing the amount of wine on hand at the beginning of the month, the amount produced, the amount sold, the amount of wine gallonage tax due, and any other information requested. Report forms shall be furnished by the division. A manufacturer of native wine shall submit a report along with any wine gallonage tax payment in the division’s licensing system by the tenth of each month for the preceding month’s business. Reports and wine gallonage tax payments submitted by the tenth of each month for the preceding month shall be considered timely. This report must be submitted for each month even if no wine sales were made during the month.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123.176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123.183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185—5.2</w:t>
      </w:r>
      <w:r>
        <w:rPr>
          <w:rFonts w:ascii="Times New Roman" w:hAnsi="Times New Roman"/>
          <w:b/>
          <w:i w:val="false"/>
          <w:color w:val="000000"/>
          <w:sz w:val="22"/>
        </w:rPr>
        <w:t xml:space="preserve">(123) </w:t>
      </w:r>
      <w:r>
        <w:rPr>
          <w:rFonts w:ascii="Times New Roman" w:hAnsi="Times New Roman"/>
          <w:b/>
          <w:i w:val="false"/>
          <w:color w:val="000000"/>
          <w:sz w:val="22"/>
        </w:rPr>
        <w:t xml:space="preserve">Production of a native distillery.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Native distillery. </w:t>
      </w:r>
      <w:r>
        <w:rPr>
          <w:rFonts w:ascii="Times New Roman" w:hAnsi="Times New Roman"/>
          <w:b w:val="false"/>
          <w:i w:val="false"/>
          <w:color w:val="000000"/>
          <w:sz w:val="22"/>
        </w:rPr>
        <w:t xml:space="preserve">A native distillery is a business as defined in Iowa Code section </w:t>
      </w:r>
      <w:hyperlink r:id="rId10">
        <w:r>
          <w:rPr>
            <w:rStyle w:val="Hyperlink"/>
            <w:rFonts w:ascii="Times New Roman" w:hAnsi="Times New Roman"/>
            <w:b w:val="false"/>
            <w:i w:val="false"/>
            <w:color w:val="000000"/>
            <w:sz w:val="22"/>
          </w:rPr>
          <w:t>123.3(35)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distilled spirits” </w:t>
      </w:r>
      <w:r>
        <w:rPr>
          <w:rFonts w:ascii="Times New Roman" w:hAnsi="Times New Roman"/>
          <w:b w:val="false"/>
          <w:i w:val="false"/>
          <w:color w:val="000000"/>
          <w:sz w:val="22"/>
        </w:rPr>
        <w:t xml:space="preserve">means an alcoholic beverage as defined in Iowa Code section </w:t>
      </w:r>
      <w:hyperlink r:id="rId11">
        <w:r>
          <w:rPr>
            <w:rStyle w:val="Hyperlink"/>
            <w:rFonts w:ascii="Times New Roman" w:hAnsi="Times New Roman"/>
            <w:b w:val="false"/>
            <w:i w:val="false"/>
            <w:color w:val="000000"/>
            <w:sz w:val="22"/>
          </w:rPr>
          <w:t>123.3(34)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still” </w:t>
      </w:r>
      <w:r>
        <w:rPr>
          <w:rFonts w:ascii="Times New Roman" w:hAnsi="Times New Roman"/>
          <w:b w:val="false"/>
          <w:i w:val="false"/>
          <w:color w:val="000000"/>
          <w:sz w:val="22"/>
        </w:rPr>
        <w:t>means a still that is registered with the Alcohol and Tobacco Tax and Trade Bureau pursuant to 27 CFR 19.75(b) and is actively used to manufacture spirits.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gallon” </w:t>
      </w:r>
      <w:r>
        <w:rPr>
          <w:rFonts w:ascii="Times New Roman" w:hAnsi="Times New Roman"/>
          <w:b w:val="false"/>
          <w:i w:val="false"/>
          <w:color w:val="000000"/>
          <w:sz w:val="22"/>
        </w:rPr>
        <w:t>means a United States gallon of proof spirits, or the alcoholic equivalent thereof, as defined by the Alcohol and Tobacco Tax and Trade Bureau pursuant to 27 CFR 30.11.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123.30(3)</w:t>
        </w:r>
      </w:hyperlink>
      <w:r>
        <w:rPr>
          <w:rFonts w:ascii="Times New Roman" w:hAnsi="Times New Roman"/>
          <w:b w:val="false"/>
          <w:i/>
          <w:color w:val="000000"/>
          <w:sz w:val="22"/>
        </w:rPr>
        <w:t>“c”</w:t>
      </w:r>
      <w:r>
        <w:rPr>
          <w:rFonts w:ascii="Times New Roman" w:hAnsi="Times New Roman"/>
          <w:b w:val="false"/>
          <w:i w:val="false"/>
          <w:color w:val="000000"/>
          <w:sz w:val="22"/>
        </w:rPr>
        <w:t xml:space="preserve">(3), </w:t>
      </w:r>
      <w:hyperlink r:id="rId14">
        <w:r>
          <w:rPr>
            <w:rStyle w:val="Hyperlink"/>
            <w:rFonts w:ascii="Times New Roman" w:hAnsi="Times New Roman"/>
            <w:b w:val="false"/>
            <w:i w:val="false"/>
            <w:color w:val="000000"/>
            <w:sz w:val="22"/>
          </w:rPr>
          <w:t>123.43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123.43A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185—5.3</w:t>
      </w:r>
      <w:r>
        <w:rPr>
          <w:rFonts w:ascii="Times New Roman" w:hAnsi="Times New Roman"/>
          <w:b/>
          <w:i w:val="false"/>
          <w:color w:val="000000"/>
          <w:sz w:val="22"/>
        </w:rPr>
        <w:t xml:space="preserve">(123) </w:t>
      </w:r>
      <w:r>
        <w:rPr>
          <w:rFonts w:ascii="Times New Roman" w:hAnsi="Times New Roman"/>
          <w:b/>
          <w:i w:val="false"/>
          <w:color w:val="000000"/>
          <w:sz w:val="22"/>
        </w:rPr>
        <w:t xml:space="preserve">Licensed manufacturers and wholesalers.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210" w:after="0"/>
        <w:ind w:left="120"/>
        <w:jc w:val="both"/>
      </w:pPr>
      <w:r>
        <w:rPr>
          <w:rFonts w:ascii="Times New Roman" w:hAnsi="Times New Roman"/>
          <w:b/>
          <w:i w:val="false"/>
          <w:color w:val="000000"/>
          <w:sz w:val="22"/>
        </w:rPr>
        <w:t>185—5.4</w:t>
      </w:r>
      <w:r>
        <w:rPr>
          <w:rFonts w:ascii="Times New Roman" w:hAnsi="Times New Roman"/>
          <w:b/>
          <w:i w:val="false"/>
          <w:color w:val="000000"/>
          <w:sz w:val="22"/>
        </w:rPr>
        <w:t xml:space="preserve">(123) </w:t>
      </w:r>
      <w:r>
        <w:rPr>
          <w:rFonts w:ascii="Times New Roman" w:hAnsi="Times New Roman"/>
          <w:b/>
          <w:i w:val="false"/>
          <w:color w:val="000000"/>
          <w:sz w:val="22"/>
        </w:rPr>
        <w:t xml:space="preserve">Investigation before issuing license or permit.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210" w:after="0"/>
        <w:ind w:left="120"/>
        <w:jc w:val="both"/>
      </w:pPr>
      <w:r>
        <w:rPr>
          <w:rFonts w:ascii="Times New Roman" w:hAnsi="Times New Roman"/>
          <w:b/>
          <w:i w:val="false"/>
          <w:color w:val="000000"/>
          <w:sz w:val="22"/>
        </w:rPr>
        <w:t>185—5.5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185—5.6</w:t>
      </w:r>
      <w:r>
        <w:rPr>
          <w:rFonts w:ascii="Times New Roman" w:hAnsi="Times New Roman"/>
          <w:b/>
          <w:i w:val="false"/>
          <w:color w:val="000000"/>
          <w:sz w:val="22"/>
        </w:rPr>
        <w:t xml:space="preserve">(123) </w:t>
      </w:r>
      <w:r>
        <w:rPr>
          <w:rFonts w:ascii="Times New Roman" w:hAnsi="Times New Roman"/>
          <w:b/>
          <w:i w:val="false"/>
          <w:color w:val="000000"/>
          <w:sz w:val="22"/>
        </w:rPr>
        <w:t xml:space="preserve">Living quarters permit.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0" w:after="0"/>
        <w:ind w:left="120"/>
        <w:jc w:val="both"/>
      </w:pPr>
      <w:r>
        <w:rPr>
          <w:rFonts w:ascii="Times New Roman" w:hAnsi="Times New Roman"/>
          <w:b/>
          <w:i w:val="false"/>
          <w:color w:val="000000"/>
          <w:sz w:val="22"/>
        </w:rPr>
        <w:t>185—5.7</w:t>
      </w:r>
      <w:r>
        <w:rPr>
          <w:rFonts w:ascii="Times New Roman" w:hAnsi="Times New Roman"/>
          <w:b/>
          <w:i w:val="false"/>
          <w:color w:val="000000"/>
          <w:sz w:val="22"/>
        </w:rPr>
        <w:t xml:space="preserve">(123) </w:t>
      </w:r>
      <w:r>
        <w:rPr>
          <w:rFonts w:ascii="Times New Roman" w:hAnsi="Times New Roman"/>
          <w:b/>
          <w:i w:val="false"/>
          <w:color w:val="000000"/>
          <w:sz w:val="22"/>
        </w:rPr>
        <w:t xml:space="preserve">Change of ownership of a licensed premises, new license or 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 new license or permit and a new bond and a new dramshop policy must be obtained whenever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business is sold or leased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licensee or permittee changes to another form of business, such as: sole proprietorship to a corporation; a corporation to a sole proprietorship; a sole proprietorship to a partnership; a partnership to a sole proprietorship; a partnership to a corporation; or a corporation to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partner leaves a partnership or when a new partner is added to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corporation name is changed due to a merger or is voluntarily changed by its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time an entity obtains a seasonal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receiver takes over the operation of an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A new license or permit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only the trade name of the business is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stock of a corporation holding a license or permit is sold. A letter to the division listing the new owner or owners and the amount of stock held by each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name of a licensee or permittee is changed by marriage, divorce, or other legal proceeding. A letter requesting the name change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 or permit is transferred to another location within the jurisdiction of the local authority as allowed by rule </w:t>
      </w:r>
      <w:hyperlink r:id="rId16">
        <w:r>
          <w:rPr>
            <w:rStyle w:val="Hyperlink"/>
            <w:rFonts w:ascii="Times New Roman" w:hAnsi="Times New Roman"/>
            <w:b w:val="false"/>
            <w:i w:val="false"/>
            <w:color w:val="000000"/>
            <w:sz w:val="22"/>
          </w:rPr>
          <w:t>185—4.18(123)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185—5.8</w:t>
      </w:r>
      <w:r>
        <w:rPr>
          <w:rFonts w:ascii="Times New Roman" w:hAnsi="Times New Roman"/>
          <w:b/>
          <w:i w:val="false"/>
          <w:color w:val="000000"/>
          <w:sz w:val="22"/>
        </w:rPr>
        <w:t xml:space="preserve">(123) </w:t>
      </w:r>
      <w:r>
        <w:rPr>
          <w:rFonts w:ascii="Times New Roman" w:hAnsi="Times New Roman"/>
          <w:b/>
          <w:i w:val="false"/>
          <w:color w:val="000000"/>
          <w:sz w:val="22"/>
        </w:rPr>
        <w:t xml:space="preserve">Dramshop liability insurance requirements. </w:t>
      </w:r>
      <w:r>
        <w:rPr>
          <w:rFonts w:ascii="Times New Roman" w:hAnsi="Times New Roman"/>
          <w:b w:val="false"/>
          <w:i w:val="false"/>
          <w:color w:val="000000"/>
          <w:sz w:val="22"/>
        </w:rPr>
        <w:t xml:space="preserve">For the purpose of providing proof of financial responsibility, as required under the provisions of Iowa Code section </w:t>
      </w:r>
      <w:hyperlink r:id="rId21">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a liability insurance policy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Current certificate required. </w:t>
      </w:r>
      <w:r>
        <w:rPr>
          <w:rFonts w:ascii="Times New Roman" w:hAnsi="Times New Roman"/>
          <w:b w:val="false"/>
          <w:i w:val="false"/>
          <w:color w:val="000000"/>
          <w:sz w:val="22"/>
        </w:rPr>
        <w:t xml:space="preserve">The dramshop liability certificate of insurance shall be issued by a company holding a current certificate of authority from the Iowa insurance commissioner authorizing the company to issue dramshop liability insurance in Iowa or issued under the authority and requirements of Iowa Code sections </w:t>
      </w:r>
      <w:hyperlink r:id="rId22">
        <w:r>
          <w:rPr>
            <w:rStyle w:val="Hyperlink"/>
            <w:rFonts w:ascii="Times New Roman" w:hAnsi="Times New Roman"/>
            <w:b w:val="false"/>
            <w:i w:val="false"/>
            <w:color w:val="000000"/>
            <w:sz w:val="22"/>
          </w:rPr>
          <w:t>515.120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515.122</w:t>
        </w:r>
      </w:hyperlink>
      <w:r>
        <w:rPr>
          <w:rFonts w:ascii="Times New Roman" w:hAnsi="Times New Roman"/>
          <w:b w:val="false"/>
          <w:i w:val="false"/>
          <w:color w:val="000000"/>
          <w:sz w:val="22"/>
        </w:rPr>
        <w:t>. The dramshop policy shall take effect the day the license takes effect and shall continue until the expiration date of the license. A new dramshop liability certificate of insurance shall be provided each time the division issues a new license. The dramshop liability certificate of insurance shall contain the following: the name of the insurance provider; the policy number; the name and address of the insured; the license number of the insured, if applicable; and the policy effective dates. Upon request, an insurance company or an insured shall provide to the division a duplicate original of the policy and all pertinent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Minimum coverage required. </w:t>
      </w:r>
      <w:r>
        <w:rPr>
          <w:rFonts w:ascii="Times New Roman" w:hAnsi="Times New Roman"/>
          <w:b w:val="false"/>
          <w:i w:val="false"/>
          <w:color w:val="000000"/>
          <w:sz w:val="22"/>
        </w:rPr>
        <w:t>The dramshop liability insurance policy shall provide the following minimum liability coverage, exclusive in interests and cost of action, per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Fifty thousand dollars for bodily injury to or death of one person in each claim or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hundred thousand dollars for bodily injury to or death of two or more persons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Twenty-five thousand dollars for loss of means of support of any one person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Fifty thousand dollars for loss of means of support of two or more persons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Permitted policies. </w:t>
      </w:r>
      <w:r>
        <w:rPr>
          <w:rFonts w:ascii="Times New Roman" w:hAnsi="Times New Roman"/>
          <w:b w:val="false"/>
          <w:i w:val="false"/>
          <w:color w:val="000000"/>
          <w:sz w:val="22"/>
        </w:rPr>
        <w:t>All dramshop policies issued under this rule shall be occurrence-based policies, not claims-made-based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Claims-made-based policies. </w:t>
      </w:r>
      <w:r>
        <w:rPr>
          <w:rFonts w:ascii="Times New Roman" w:hAnsi="Times New Roman"/>
          <w:b w:val="false"/>
          <w:i w:val="false"/>
          <w:color w:val="000000"/>
          <w:sz w:val="22"/>
        </w:rPr>
        <w:t>Claims-made-based policies provide liability coverage only if a written claim is made during the policy period, or any applicable extended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Occurrence-based policies. </w:t>
      </w:r>
      <w:r>
        <w:rPr>
          <w:rFonts w:ascii="Times New Roman" w:hAnsi="Times New Roman"/>
          <w:b w:val="false"/>
          <w:i w:val="false"/>
          <w:color w:val="000000"/>
          <w:sz w:val="22"/>
        </w:rPr>
        <w:t>Occurrence-based policies provide liability coverage only for injuries or damages that occur during the policy period regardless of the number of written claims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An insurance company or an insured may cancel a liability policy by giving a minimum of 30 days’ prior written notice to the division of the party’s intent to cancel the liability policy. The 30-day period shall begin on the date that the division receives the notice of cancellation. The party seeking to cancel a liability policy shall mail written notice of such cancellation to the division in Ankeny, Iowa, by certified mail, or other method deemed acceptable by the division, and shall mail a copy of the notice of cancellation to the licensee at that party’s post office address. The notice of cancellation shall contain the following: the name of the party to whom the copy of the notice of cancellation was mailed, the address to which the copy of the notice of cancellation was sent, the date on which the notice of cancellation was mailed, the date the liability policy is being canceled, and the retail alcohol license number of the licensee to be affected by such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w:t>
      </w:r>
      <w:r>
        <w:rPr>
          <w:rFonts w:ascii="Times New Roman" w:hAnsi="Times New Roman"/>
          <w:b w:val="false"/>
          <w:i w:val="false"/>
          <w:color w:val="000000"/>
          <w:sz w:val="22"/>
        </w:rPr>
        <w:t> </w:t>
      </w:r>
      <w:r>
        <w:rPr>
          <w:rFonts w:ascii="Times New Roman" w:hAnsi="Times New Roman"/>
          <w:b w:val="false"/>
          <w:i/>
          <w:color w:val="000000"/>
          <w:sz w:val="22"/>
        </w:rPr>
        <w:t xml:space="preserve">Civil tort liability. </w:t>
      </w:r>
      <w:r>
        <w:rPr>
          <w:rFonts w:ascii="Times New Roman" w:hAnsi="Times New Roman"/>
          <w:b w:val="false"/>
          <w:i w:val="false"/>
          <w:color w:val="000000"/>
          <w:sz w:val="22"/>
        </w:rPr>
        <w:t xml:space="preserve">Subject to the ordinary or customary exclusions usually found in a policy of dramshop liability insurance, the policy shall contain coverage to insure against civil tort liability of the insured, created under Iowa Code sections </w:t>
      </w:r>
      <w:hyperlink r:id="rId24">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123.93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123.94</w:t>
        </w:r>
      </w:hyperlink>
      <w:r>
        <w:rPr>
          <w:rFonts w:ascii="Times New Roman" w:hAnsi="Times New Roman"/>
          <w:b w:val="false"/>
          <w:i w:val="false"/>
          <w:color w:val="000000"/>
          <w:sz w:val="22"/>
        </w:rPr>
        <w:t>, as those sections now exist or may hereafter be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w:t>
      </w:r>
      <w:r>
        <w:rPr>
          <w:rFonts w:ascii="Times New Roman" w:hAnsi="Times New Roman"/>
          <w:b w:val="false"/>
          <w:i w:val="false"/>
          <w:color w:val="000000"/>
          <w:sz w:val="22"/>
        </w:rPr>
        <w:t> </w:t>
      </w:r>
      <w:r>
        <w:rPr>
          <w:rFonts w:ascii="Times New Roman" w:hAnsi="Times New Roman"/>
          <w:b w:val="false"/>
          <w:i/>
          <w:color w:val="000000"/>
          <w:sz w:val="22"/>
        </w:rPr>
        <w:t xml:space="preserve">Proof of financial responsibility. </w:t>
      </w:r>
      <w:r>
        <w:rPr>
          <w:rFonts w:ascii="Times New Roman" w:hAnsi="Times New Roman"/>
          <w:b w:val="false"/>
          <w:i w:val="false"/>
          <w:color w:val="000000"/>
          <w:sz w:val="22"/>
        </w:rPr>
        <w:t xml:space="preserve">A licensee shall be deemed to have furnished proof of financial responsibility as contemplated under the provisions of Iowa Code sections </w:t>
      </w:r>
      <w:hyperlink r:id="rId27">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123.93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123.94</w:t>
        </w:r>
      </w:hyperlink>
      <w:r>
        <w:rPr>
          <w:rFonts w:ascii="Times New Roman" w:hAnsi="Times New Roman"/>
          <w:b w:val="false"/>
          <w:i w:val="false"/>
          <w:color w:val="000000"/>
          <w:sz w:val="22"/>
        </w:rPr>
        <w:t xml:space="preserve"> when the licensee has filed with the division at its offices in Ankeny, Iowa, a properly executed form as described by subrule </w:t>
      </w:r>
      <w:hyperlink r:id="rId30">
        <w:r>
          <w:rPr>
            <w:rStyle w:val="Hyperlink"/>
            <w:rFonts w:ascii="Times New Roman" w:hAnsi="Times New Roman"/>
            <w:b w:val="false"/>
            <w:i w:val="false"/>
            <w:color w:val="000000"/>
            <w:sz w:val="22"/>
          </w:rPr>
          <w:t>5.8(1)</w:t>
        </w:r>
      </w:hyperlink>
      <w:r>
        <w:rPr>
          <w:rFonts w:ascii="Times New Roman" w:hAnsi="Times New Roman"/>
          <w:b w:val="false"/>
          <w:i w:val="false"/>
          <w:color w:val="000000"/>
          <w:sz w:val="22"/>
        </w:rPr>
        <w:t>, or by other method deemed acceptable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w:t>
      </w:r>
      <w:r>
        <w:rPr>
          <w:rFonts w:ascii="Times New Roman" w:hAnsi="Times New Roman"/>
          <w:b w:val="false"/>
          <w:i w:val="false"/>
          <w:color w:val="000000"/>
          <w:sz w:val="22"/>
        </w:rPr>
        <w:t> </w:t>
      </w:r>
      <w:r>
        <w:rPr>
          <w:rFonts w:ascii="Times New Roman" w:hAnsi="Times New Roman"/>
          <w:b w:val="false"/>
          <w:i/>
          <w:color w:val="000000"/>
          <w:sz w:val="22"/>
        </w:rPr>
        <w:t xml:space="preserve">Signature required. </w:t>
      </w:r>
      <w:r>
        <w:rPr>
          <w:rFonts w:ascii="Times New Roman" w:hAnsi="Times New Roman"/>
          <w:b w:val="false"/>
          <w:i w:val="false"/>
          <w:color w:val="000000"/>
          <w:sz w:val="22"/>
        </w:rPr>
        <w:t>Copies of the form described above shall not be deemed properly executed unless the authorized company representative executing the same shall first have filed with the division a sample of the representative’s signature. Electronic and facsimile signatures will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w:t>
      </w:r>
      <w:r>
        <w:rPr>
          <w:rFonts w:ascii="Times New Roman" w:hAnsi="Times New Roman"/>
          <w:b w:val="false"/>
          <w:i w:val="false"/>
          <w:color w:val="000000"/>
          <w:sz w:val="22"/>
        </w:rPr>
        <w:t> </w:t>
      </w:r>
      <w:r>
        <w:rPr>
          <w:rFonts w:ascii="Times New Roman" w:hAnsi="Times New Roman"/>
          <w:b w:val="false"/>
          <w:i/>
          <w:color w:val="000000"/>
          <w:sz w:val="22"/>
        </w:rPr>
        <w:t xml:space="preserve">Single insurance policies for multiple establishments. </w:t>
      </w:r>
      <w:r>
        <w:rPr>
          <w:rFonts w:ascii="Times New Roman" w:hAnsi="Times New Roman"/>
          <w:b w:val="false"/>
          <w:i w:val="false"/>
          <w:color w:val="000000"/>
          <w:sz w:val="22"/>
        </w:rPr>
        <w:t>Any licensee that holds multiple licenses throughout the state may purchase a single dramshop insurance policy for all locations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dramshop insurance policy provides at least the minimum level of coverage required under this rule for each and every location covered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other provisions of this rule are met by the single dramshop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5.8(9)</w:t>
      </w:r>
      <w:r>
        <w:rPr>
          <w:rFonts w:ascii="Times New Roman" w:hAnsi="Times New Roman"/>
          <w:b w:val="false"/>
          <w:i w:val="false"/>
          <w:color w:val="000000"/>
          <w:sz w:val="22"/>
        </w:rPr>
        <w:t> </w:t>
      </w:r>
      <w:r>
        <w:rPr>
          <w:rFonts w:ascii="Times New Roman" w:hAnsi="Times New Roman"/>
          <w:b w:val="false"/>
          <w:i/>
          <w:color w:val="000000"/>
          <w:sz w:val="22"/>
        </w:rPr>
        <w:t xml:space="preserve">Assault and battery policy requirement. </w:t>
      </w:r>
      <w:r>
        <w:rPr>
          <w:rFonts w:ascii="Times New Roman" w:hAnsi="Times New Roman"/>
          <w:b w:val="false"/>
          <w:i w:val="false"/>
          <w:color w:val="000000"/>
          <w:sz w:val="22"/>
        </w:rPr>
        <w:t>Any dramshop insurance policy issued under this rule shall not contain an exclusionary clause for assault and battery or intentional force with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agents or any person acting as an agent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patrons or visitors to the establishment.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123.93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123.94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185—5.9</w:t>
      </w:r>
      <w:r>
        <w:rPr>
          <w:rFonts w:ascii="Times New Roman" w:hAnsi="Times New Roman"/>
          <w:b/>
          <w:i w:val="false"/>
          <w:color w:val="000000"/>
          <w:sz w:val="22"/>
        </w:rPr>
        <w:t xml:space="preserve">(123) </w:t>
      </w:r>
      <w:r>
        <w:rPr>
          <w:rFonts w:ascii="Times New Roman" w:hAnsi="Times New Roman"/>
          <w:b/>
          <w:i w:val="false"/>
          <w:color w:val="000000"/>
          <w:sz w:val="22"/>
        </w:rPr>
        <w:t xml:space="preserve">Surety bond requirements. </w:t>
      </w:r>
      <w:r>
        <w:rPr>
          <w:rFonts w:ascii="Times New Roman" w:hAnsi="Times New Roman"/>
          <w:b w:val="false"/>
          <w:i w:val="false"/>
          <w:color w:val="000000"/>
          <w:sz w:val="22"/>
        </w:rPr>
        <w:t>Each surety bond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The surety bond shall be issued by a company holding a current certificate of authority from the commissioner of insurance authorizing the company to issue bonds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Forfeiture of bond. </w:t>
      </w:r>
      <w:r>
        <w:rPr>
          <w:rFonts w:ascii="Times New Roman" w:hAnsi="Times New Roman"/>
          <w:b w:val="false"/>
          <w:i w:val="false"/>
          <w:color w:val="000000"/>
          <w:sz w:val="22"/>
        </w:rPr>
        <w:t>The surety bond shall contain a provision for the principal and surety to consent to the forfeiture of the principal sum of the bond in the event of revocation of the license or permit by the violation of any Iowa Code provision which requires forfeiture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surety company or a principal may cancel a bond by giving a minimum of 30 days’ written notice to the division of the party’s intent to cancel the bond. The 30-day period shall commence on the date that the division receives the notice of cancellation. The party seeking to cancel a bond shall submit written notice of such cancellation to the division in Ankeny, Iowa, and further shall submit a copy of the notice of cancellation to the other party. The notice of cancellation shall contain the following: the name of the party to whom the copy of the notice of cancellation was submitted, the date on which the notice of cancellation was submitted, the date the bond is being canceled, and the license or permit number of the licensee or permittee to be affected by such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color w:val="000000"/>
          <w:sz w:val="22"/>
        </w:rPr>
        <w:t xml:space="preserve">Proof of bond. </w:t>
      </w:r>
      <w:r>
        <w:rPr>
          <w:rFonts w:ascii="Times New Roman" w:hAnsi="Times New Roman"/>
          <w:b w:val="false"/>
          <w:i w:val="false"/>
          <w:color w:val="000000"/>
          <w:sz w:val="22"/>
        </w:rPr>
        <w:t>A licensee or permittee shall be deemed to have furnished a surety bond when the licensee or permittee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Filed with the division a form prescribed by the division containing the following: the name of the bond provider; the city and state where the bond provider is located; the bond number, the names of the principal, and the city and state where the principal is located; the amount of the bond; the type of license or permit guaranteed by the bond; the effective date of the bond; signatures of the principal and the bond provider; and any other information the administrator of the division may require,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 this requirement by any other method deemed acceptable by the administrator of the division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r>
        <w:rPr>
          <w:rFonts w:ascii="Times New Roman" w:hAnsi="Times New Roman"/>
          <w:b/>
          <w:i w:val="false"/>
          <w:color w:val="000000"/>
          <w:sz w:val="22"/>
        </w:rPr>
        <w:t>5.9(7)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123.50</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123.127</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123.175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185—5.10</w:t>
      </w:r>
      <w:r>
        <w:rPr>
          <w:rFonts w:ascii="Times New Roman" w:hAnsi="Times New Roman"/>
          <w:b w:val="false"/>
          <w:i w:val="false"/>
          <w:color w:val="000000"/>
          <w:sz w:val="22"/>
        </w:rPr>
        <w:t xml:space="preserve">to </w:t>
      </w:r>
      <w:r>
        <w:rPr>
          <w:rFonts w:ascii="Times New Roman" w:hAnsi="Times New Roman"/>
          <w:b/>
          <w:i w:val="false"/>
          <w:color w:val="000000"/>
          <w:sz w:val="22"/>
        </w:rPr>
        <w:t>185—5.19</w:t>
      </w:r>
      <w:r>
        <w:rPr>
          <w:rFonts w:ascii="Times New Roman" w:hAnsi="Times New Roman"/>
          <w:b w:val="false"/>
          <w:i w:val="false"/>
          <w:color w:val="000000"/>
          <w:sz w:val="22"/>
        </w:rPr>
        <w:t xml:space="preserve"> Reserved.</w:t>
      </w:r>
    </w:p>
    <w:p>
      <w:pPr>
        <w:spacing w:before="0" w:after="0"/>
        <w:ind w:left="120"/>
        <w:jc w:val="center"/>
      </w:pPr>
      <w:r>
        <w:rPr>
          <w:rFonts w:ascii="Times New Roman" w:hAnsi="Times New Roman"/>
          <w:b w:val="false"/>
          <w:i w:val="false"/>
          <w:color w:val="000000"/>
          <w:sz w:val="21"/>
        </w:rPr>
        <w:t>[Filed 12/14/72]</w:t>
      </w:r>
    </w:p>
    <w:p>
      <w:pPr>
        <w:spacing w:before="0" w:after="0"/>
        <w:ind w:left="120"/>
        <w:jc w:val="center"/>
      </w:pPr>
      <w:r>
        <w:rPr>
          <w:rFonts w:ascii="Times New Roman" w:hAnsi="Times New Roman"/>
          <w:b w:val="false"/>
          <w:i w:val="false"/>
          <w:color w:val="000000"/>
          <w:sz w:val="21"/>
        </w:rPr>
        <w:t>[Filed emergency 5/11/76—published 5/31/76, effective 5/11/76]</w:t>
      </w:r>
    </w:p>
    <w:p>
      <w:pPr>
        <w:spacing w:before="0" w:after="0"/>
        <w:ind w:left="120"/>
        <w:jc w:val="center"/>
      </w:pPr>
      <w:r>
        <w:rPr>
          <w:rFonts w:ascii="Times New Roman" w:hAnsi="Times New Roman"/>
          <w:b w:val="false"/>
          <w:i w:val="false"/>
          <w:color w:val="000000"/>
          <w:sz w:val="21"/>
        </w:rPr>
        <w:t>[Filed 5/19/78, Notice 4/5/78—published 6/14/78, effective 7/20/78]</w:t>
      </w:r>
    </w:p>
    <w:p>
      <w:pPr>
        <w:spacing w:before="0" w:after="0"/>
        <w:ind w:left="120"/>
        <w:jc w:val="center"/>
      </w:pPr>
      <w:r>
        <w:rPr>
          <w:rFonts w:ascii="Times New Roman" w:hAnsi="Times New Roman"/>
          <w:b w:val="false"/>
          <w:i w:val="false"/>
          <w:color w:val="000000"/>
          <w:sz w:val="21"/>
        </w:rPr>
        <w:t>[Filed 2/16/79, Notice 12/27/78—published 3/7/79, effective 4/16/79]</w:t>
      </w:r>
    </w:p>
    <w:p>
      <w:pPr>
        <w:spacing w:before="0" w:after="0"/>
        <w:ind w:left="120"/>
        <w:jc w:val="center"/>
      </w:pPr>
      <w:r>
        <w:rPr>
          <w:rFonts w:ascii="Times New Roman" w:hAnsi="Times New Roman"/>
          <w:b w:val="false"/>
          <w:i w:val="false"/>
          <w:color w:val="000000"/>
          <w:sz w:val="21"/>
        </w:rPr>
        <w:t>[Filed without Notice 7/6/79—published 7/25/79, effective 8/29/79]</w:t>
      </w:r>
    </w:p>
    <w:p>
      <w:pPr>
        <w:spacing w:before="0" w:after="0"/>
        <w:ind w:left="120"/>
        <w:jc w:val="center"/>
      </w:pPr>
      <w:r>
        <w:rPr>
          <w:rFonts w:ascii="Times New Roman" w:hAnsi="Times New Roman"/>
          <w:b w:val="false"/>
          <w:i w:val="false"/>
          <w:color w:val="000000"/>
          <w:sz w:val="21"/>
        </w:rPr>
        <w:t>[Filed 8/15/80, Notice 5/28/80—published 9/3/80, effective 10/8/80]</w:t>
      </w:r>
    </w:p>
    <w:p>
      <w:pPr>
        <w:spacing w:before="0" w:after="0"/>
        <w:ind w:left="120"/>
        <w:jc w:val="center"/>
      </w:pPr>
      <w:r>
        <w:rPr>
          <w:rFonts w:ascii="Times New Roman" w:hAnsi="Times New Roman"/>
          <w:b w:val="false"/>
          <w:i w:val="false"/>
          <w:color w:val="000000"/>
          <w:sz w:val="21"/>
        </w:rPr>
        <w:t>[Filed emergency 5/19/82—published 6/9/82, effective 5/19/82]</w:t>
      </w:r>
    </w:p>
    <w:p>
      <w:pPr>
        <w:spacing w:before="0" w:after="0"/>
        <w:ind w:left="120"/>
        <w:jc w:val="center"/>
      </w:pPr>
      <w:r>
        <w:rPr>
          <w:rFonts w:ascii="Times New Roman" w:hAnsi="Times New Roman"/>
          <w:b w:val="false"/>
          <w:i w:val="false"/>
          <w:color w:val="000000"/>
          <w:sz w:val="21"/>
        </w:rPr>
        <w:t>[Filed 11/1/84, Notice 8/1/84—published 11/21/84, effective 12/26/84]</w:t>
      </w:r>
    </w:p>
    <w:p>
      <w:pPr>
        <w:spacing w:before="0" w:after="0"/>
        <w:ind w:left="120"/>
        <w:jc w:val="center"/>
      </w:pPr>
      <w:r>
        <w:rPr>
          <w:rFonts w:ascii="Times New Roman" w:hAnsi="Times New Roman"/>
          <w:b w:val="false"/>
          <w:i w:val="false"/>
          <w:color w:val="000000"/>
          <w:sz w:val="21"/>
        </w:rPr>
        <w:t>[Filed 5/3/85, Notice 2/13/85—published 5/22/85, effective 6/26/85]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5/3/85—published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7/1/85—published 7/31/85, effective 7/1/85]</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6/11/86—published 7/2/86, effective 7/1/86]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4"/>
        </w:rPr>
        <w:t>◊</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7/1/86, Notice 5/21/86—published 7/30/86, effective 9/3/86]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8/22/86—published 9/10/86, effective 9/30/86]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[Editorially transferred from [150] to [185], IAC Supp. 10/8/86; see IAC 7/30/86]</w:t>
      </w:r>
    </w:p>
    <w:p>
      <w:pPr>
        <w:spacing w:before="0" w:after="0"/>
        <w:ind w:left="120"/>
        <w:jc w:val="center"/>
      </w:pPr>
      <w:r>
        <w:rPr>
          <w:rFonts w:ascii="Times New Roman" w:hAnsi="Times New Roman"/>
          <w:b w:val="false"/>
          <w:i w:val="false"/>
          <w:color w:val="000000"/>
          <w:sz w:val="21"/>
        </w:rPr>
        <w:t>[Filed 2/16/88, Notice 10/7/87—published 3/9/88, effective 4/13/88]</w:t>
      </w:r>
    </w:p>
    <w:p>
      <w:pPr>
        <w:spacing w:before="0" w:after="0"/>
        <w:ind w:left="120"/>
        <w:jc w:val="center"/>
      </w:pPr>
      <w:r>
        <w:rPr>
          <w:rFonts w:ascii="Times New Roman" w:hAnsi="Times New Roman"/>
          <w:b w:val="false"/>
          <w:i w:val="false"/>
          <w:color w:val="000000"/>
          <w:sz w:val="21"/>
        </w:rPr>
        <w:t>[Filed 4/26/91, Notice 3/20/91—published 5/15/91, effective 6/19/91]</w:t>
      </w:r>
    </w:p>
    <w:p>
      <w:pPr>
        <w:spacing w:before="0" w:after="0"/>
        <w:ind w:left="120"/>
        <w:jc w:val="center"/>
      </w:pPr>
      <w:r>
        <w:rPr>
          <w:rFonts w:ascii="Times New Roman" w:hAnsi="Times New Roman"/>
          <w:b w:val="false"/>
          <w:i w:val="false"/>
          <w:color w:val="000000"/>
          <w:sz w:val="21"/>
        </w:rPr>
        <w:t>[Filed emergency 7/29/93—published 8/18/93, effective 7/29/93]</w:t>
      </w:r>
    </w:p>
    <w:p>
      <w:pPr>
        <w:spacing w:before="0" w:after="0"/>
        <w:ind w:left="120"/>
        <w:jc w:val="center"/>
      </w:pPr>
      <w:r>
        <w:rPr>
          <w:rFonts w:ascii="Times New Roman" w:hAnsi="Times New Roman"/>
          <w:b w:val="false"/>
          <w:i w:val="false"/>
          <w:color w:val="000000"/>
          <w:sz w:val="21"/>
        </w:rPr>
        <w:t>[Filed 10/20/93, Notice 8/18/93—published 11/10/93, effective 12/15/93]</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10/12/01, Notice 8/8/01—published 10/31/01, effective 12/5/01]</w:t>
      </w:r>
    </w:p>
    <w:p>
      <w:pPr>
        <w:spacing w:before="0" w:after="0"/>
        <w:ind w:left="120"/>
        <w:jc w:val="center"/>
      </w:pPr>
      <w:r>
        <w:rPr>
          <w:rFonts w:ascii="Times New Roman" w:hAnsi="Times New Roman"/>
          <w:b w:val="false"/>
          <w:i w:val="false"/>
          <w:color w:val="000000"/>
          <w:sz w:val="21"/>
        </w:rPr>
        <w:t>[Filed 3/14/03, Notice 8/8/01—published 4/2/03, effective 5/8/03]</w:t>
      </w:r>
    </w:p>
    <w:p>
      <w:pPr>
        <w:spacing w:before="0" w:after="0"/>
        <w:ind w:left="120"/>
        <w:jc w:val="center"/>
      </w:pPr>
      <w:r>
        <w:rPr>
          <w:rFonts w:ascii="Times New Roman" w:hAnsi="Times New Roman"/>
          <w:b w:val="false"/>
          <w:i w:val="false"/>
          <w:color w:val="000000"/>
          <w:sz w:val="21"/>
        </w:rPr>
        <w:t>[Filed ARC 0274C</w:t>
      </w:r>
      <w:r>
        <w:rPr>
          <w:rFonts w:ascii="Times New Roman" w:hAnsi="Times New Roman"/>
          <w:b w:val="false"/>
          <w:i w:val="false"/>
          <w:color w:val="000000"/>
          <w:sz w:val="21"/>
        </w:rPr>
        <w:t xml:space="preserve"> (Notice ARC 0157C,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3928C</w:t>
      </w:r>
      <w:r>
        <w:rPr>
          <w:rFonts w:ascii="Times New Roman" w:hAnsi="Times New Roman"/>
          <w:b w:val="false"/>
          <w:i w:val="false"/>
          <w:color w:val="000000"/>
          <w:sz w:val="21"/>
        </w:rPr>
        <w:t xml:space="preserve"> (Notice ARC 3817C, IAB 6/6/18)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7073C</w:t>
      </w:r>
      <w:r>
        <w:rPr>
          <w:rFonts w:ascii="Times New Roman" w:hAnsi="Times New Roman"/>
          <w:b w:val="false"/>
          <w:i w:val="false"/>
          <w:color w:val="000000"/>
          <w:sz w:val="21"/>
        </w:rPr>
        <w:t xml:space="preserve"> (Notice ARC 7049C, IAB 7/26/23)</w:t>
      </w:r>
      <w:r>
        <w:rPr>
          <w:rFonts w:ascii="Times New Roman" w:hAnsi="Times New Roman"/>
          <w:b w:val="false"/>
          <w:i w:val="false"/>
          <w:color w:val="000000"/>
          <w:sz w:val="21"/>
        </w:rPr>
        <w:t>, IAB 9/20/23, effective 10/25/23]</w:t>
      </w:r>
    </w:p>
    <w:p>
      <w:pPr>
        <w:spacing w:before="0" w:after="0"/>
        <w:ind w:left="120"/>
        <w:jc w:val="center"/>
      </w:pPr>
      <w:r>
        <w:rPr>
          <w:rFonts w:ascii="Times New Roman" w:hAnsi="Times New Roman"/>
          <w:b w:val="false"/>
          <w:i w:val="false"/>
          <w:color w:val="000000"/>
          <w:sz w:val="21"/>
        </w:rPr>
        <w:t>[Editorial change: IAC Supplement 11/15/23]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5.1(2), 5.1(7) and 5.7(1) delayed 70 days by the Administrative Rules Review Committee on 6/11/85.</w:t>
      </w:r>
    </w:p>
    <w:p>
      <w:pPr>
        <w:pBdr>
          <w:bottom w:space="2"/>
        </w:pBdr>
        <w:spacing w:before="0" w:after="0"/>
        <w:ind w:left="120"/>
        <w:jc w:val="both"/>
      </w:pPr>
      <w:r>
        <w:rPr>
          <w:rFonts w:ascii="Times New Roman" w:hAnsi="Times New Roman"/>
          <w:b w:val="false"/>
          <w:i w:val="false"/>
          <w:color w:val="000000"/>
          <w:sz w:val="22"/>
        </w:rPr>
        <w:t>See Alcoholic Beverages Division in IAB.</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3.pdf" Type="http://schemas.openxmlformats.org/officeDocument/2006/relationships/hyperlink" Id="rId5"/>
    <Relationship TargetMode="External" Target="https://www.legis.iowa.gov/docs/ico/chapter/123.4.pdf" Type="http://schemas.openxmlformats.org/officeDocument/2006/relationships/hyperlink" Id="rId6"/>
    <Relationship TargetMode="External" Target="https://www.legis.iowa.gov/docs/ico/chapter/123.49.pdf" Type="http://schemas.openxmlformats.org/officeDocument/2006/relationships/hyperlink" Id="rId7"/>
    <Relationship TargetMode="External" Target="https://www.legis.iowa.gov/docs/ico/chapter/123.176.pdf" Type="http://schemas.openxmlformats.org/officeDocument/2006/relationships/hyperlink" Id="rId8"/>
    <Relationship TargetMode="External" Target="https://www.legis.iowa.gov/docs/ico/chapter/123.183.pdf" Type="http://schemas.openxmlformats.org/officeDocument/2006/relationships/hyperlink" Id="rId9"/>
    <Relationship TargetMode="External" Target="https://www.legis.iowa.gov/docs/ico/chapter/123.3.pdf" Type="http://schemas.openxmlformats.org/officeDocument/2006/relationships/hyperlink" Id="rId10"/>
    <Relationship TargetMode="External" Target="https://www.legis.iowa.gov/docs/ico/chapter/123.3.pdf" Type="http://schemas.openxmlformats.org/officeDocument/2006/relationships/hyperlink" Id="rId11"/>
    <Relationship TargetMode="External" Target="https://www.legis.iowa.gov/docs/ico/chapter/123.3.pdf" Type="http://schemas.openxmlformats.org/officeDocument/2006/relationships/hyperlink" Id="rId12"/>
    <Relationship TargetMode="External" Target="https://www.legis.iowa.gov/docs/ico/chapter/123.30.pdf" Type="http://schemas.openxmlformats.org/officeDocument/2006/relationships/hyperlink" Id="rId13"/>
    <Relationship TargetMode="External" Target="https://www.legis.iowa.gov/docs/ico/chapter/123.43.pdf" Type="http://schemas.openxmlformats.org/officeDocument/2006/relationships/hyperlink" Id="rId14"/>
    <Relationship TargetMode="External" Target="https://www.legis.iowa.gov/docs/ico/chapter/123.43A.pdf" Type="http://schemas.openxmlformats.org/officeDocument/2006/relationships/hyperlink" Id="rId15"/>
    <Relationship TargetMode="External" Target="https://www.legis.iowa.gov/docs/iac/rule/185.4.18.pdf" Type="http://schemas.openxmlformats.org/officeDocument/2006/relationships/hyperlink" Id="rId16"/>
    <Relationship TargetMode="External" Target="https://www.legis.iowa.gov/docs/ico/chapter/123.4.pdf" Type="http://schemas.openxmlformats.org/officeDocument/2006/relationships/hyperlink" Id="rId17"/>
    <Relationship TargetMode="External" Target="https://www.legis.iowa.gov/docs/ico/chapter/123.10.pdf" Type="http://schemas.openxmlformats.org/officeDocument/2006/relationships/hyperlink" Id="rId18"/>
    <Relationship TargetMode="External" Target="https://www.legis.iowa.gov/docs/ico/chapter/123.31.pdf" Type="http://schemas.openxmlformats.org/officeDocument/2006/relationships/hyperlink" Id="rId19"/>
    <Relationship TargetMode="External" Target="https://www.legis.iowa.gov/docs/ico/chapter/123.49.pdf" Type="http://schemas.openxmlformats.org/officeDocument/2006/relationships/hyperlink" Id="rId20"/>
    <Relationship TargetMode="External" Target="https://www.legis.iowa.gov/docs/ico/chapter/123.92.pdf" Type="http://schemas.openxmlformats.org/officeDocument/2006/relationships/hyperlink" Id="rId21"/>
    <Relationship TargetMode="External" Target="https://www.legis.iowa.gov/docs/ico/chapter/515.120.pdf" Type="http://schemas.openxmlformats.org/officeDocument/2006/relationships/hyperlink" Id="rId22"/>
    <Relationship TargetMode="External" Target="https://www.legis.iowa.gov/docs/ico/chapter/515.122.pdf" Type="http://schemas.openxmlformats.org/officeDocument/2006/relationships/hyperlink" Id="rId23"/>
    <Relationship TargetMode="External" Target="https://www.legis.iowa.gov/docs/ico/chapter/123.92.pdf" Type="http://schemas.openxmlformats.org/officeDocument/2006/relationships/hyperlink" Id="rId24"/>
    <Relationship TargetMode="External" Target="https://www.legis.iowa.gov/docs/ico/chapter/123.93.pdf" Type="http://schemas.openxmlformats.org/officeDocument/2006/relationships/hyperlink" Id="rId25"/>
    <Relationship TargetMode="External" Target="https://www.legis.iowa.gov/docs/ico/chapter/123.94.pdf" Type="http://schemas.openxmlformats.org/officeDocument/2006/relationships/hyperlink" Id="rId26"/>
    <Relationship TargetMode="External" Target="https://www.legis.iowa.gov/docs/ico/chapter/123.92.pdf" Type="http://schemas.openxmlformats.org/officeDocument/2006/relationships/hyperlink" Id="rId27"/>
    <Relationship TargetMode="External" Target="https://www.legis.iowa.gov/docs/ico/chapter/123.93.pdf" Type="http://schemas.openxmlformats.org/officeDocument/2006/relationships/hyperlink" Id="rId28"/>
    <Relationship TargetMode="External" Target="https://www.legis.iowa.gov/docs/ico/chapter/123.94.pdf" Type="http://schemas.openxmlformats.org/officeDocument/2006/relationships/hyperlink" Id="rId29"/>
    <Relationship TargetMode="External" Target="https://www.legis.iowa.gov/docs/iac/rule/185.5.8.pdf" Type="http://schemas.openxmlformats.org/officeDocument/2006/relationships/hyperlink" Id="rId30"/>
    <Relationship TargetMode="External" Target="https://www.legis.iowa.gov/docs/ico/chapter/123.92.pdf" Type="http://schemas.openxmlformats.org/officeDocument/2006/relationships/hyperlink" Id="rId31"/>
    <Relationship TargetMode="External" Target="https://www.legis.iowa.gov/docs/ico/chapter/123.93.pdf" Type="http://schemas.openxmlformats.org/officeDocument/2006/relationships/hyperlink" Id="rId32"/>
    <Relationship TargetMode="External" Target="https://www.legis.iowa.gov/docs/ico/chapter/123.94.pdf" Type="http://schemas.openxmlformats.org/officeDocument/2006/relationships/hyperlink" Id="rId33"/>
    <Relationship TargetMode="External" Target="https://www.legis.iowa.gov/docs/ico/chapter/123.30.pdf" Type="http://schemas.openxmlformats.org/officeDocument/2006/relationships/hyperlink" Id="rId34"/>
    <Relationship TargetMode="External" Target="https://www.legis.iowa.gov/docs/ico/chapter/123.50.pdf" Type="http://schemas.openxmlformats.org/officeDocument/2006/relationships/hyperlink" Id="rId35"/>
    <Relationship TargetMode="External" Target="https://www.legis.iowa.gov/docs/ico/chapter/123.127.pdf" Type="http://schemas.openxmlformats.org/officeDocument/2006/relationships/hyperlink" Id="rId36"/>
    <Relationship TargetMode="External" Target="https://www.legis.iowa.gov/docs/ico/chapter/123.175.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