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RETAIL ALCOHOL LICENSES—BEER PERMITS—WINE PERMITS</w:t>
      </w:r>
    </w:p>
    <w:p>
      <w:pPr>
        <w:spacing w:before="0" w:after="0"/>
        <w:ind w:left="120"/>
        <w:jc w:val="center"/>
      </w:pPr>
      <w:r>
        <w:rPr>
          <w:rFonts w:ascii="Times New Roman" w:hAnsi="Times New Roman"/>
          <w:b w:val="false"/>
          <w:i w:val="false"/>
          <w:color w:val="000000"/>
          <w:sz w:val="14"/>
        </w:rPr>
        <w:t>[Ch 4, IAC 7/1/75 rescinded 3/7/79; see Chs 4,5]</w:t>
      </w:r>
    </w:p>
    <w:p>
      <w:pPr>
        <w:spacing w:before="0" w:after="0"/>
        <w:ind w:left="120"/>
        <w:jc w:val="center"/>
      </w:pPr>
      <w:r>
        <w:rPr>
          <w:rFonts w:ascii="Times New Roman" w:hAnsi="Times New Roman"/>
          <w:b w:val="false"/>
          <w:i w:val="false"/>
          <w:color w:val="000000"/>
          <w:sz w:val="14"/>
        </w:rPr>
        <w:t>[Prior to 10/8/86, Beer and Liquor Control Department[150]]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185—4.1</w:t>
      </w:r>
      <w:r>
        <w:rPr>
          <w:rFonts w:ascii="Times New Roman" w:hAnsi="Times New Roman"/>
          <w:b/>
          <w:i w:val="false"/>
          <w:color w:val="000000"/>
          <w:sz w:val="22"/>
        </w:rPr>
        <w:t xml:space="preserve">(123)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alcoholic beverage control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chief administrative officer of the alcoholic beverages division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“Beverages”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123.3(21)</w:t>
        </w:r>
      </w:hyperlink>
      <w:r>
        <w:rPr>
          <w:rFonts w:ascii="Times New Roman" w:hAnsi="Times New Roman"/>
          <w:b w:val="false"/>
          <w:i w:val="false"/>
          <w:color w:val="000000"/>
          <w:sz w:val="22"/>
        </w:rPr>
        <w:t xml:space="preserve"> does not include any alcoholic beverage as defined in Iowa Code section </w:t>
      </w:r>
      <w:hyperlink r:id="rId6">
        <w:r>
          <w:rPr>
            <w:rStyle w:val="Hyperlink"/>
            <w:rFonts w:ascii="Times New Roman" w:hAnsi="Times New Roman"/>
            <w:b w:val="false"/>
            <w:i w:val="false"/>
            <w:color w:val="000000"/>
            <w:sz w:val="22"/>
          </w:rPr>
          <w:t>123.3(4)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alcoholic beverages division of the department of commerce.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185—4.2</w:t>
      </w:r>
      <w:r>
        <w:rPr>
          <w:rFonts w:ascii="Times New Roman" w:hAnsi="Times New Roman"/>
          <w:b/>
          <w:i w:val="false"/>
          <w:color w:val="000000"/>
          <w:sz w:val="22"/>
        </w:rPr>
        <w:t xml:space="preserve">(123)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All applicants for licenses, permits, or certificates of compliance shall comply with the following requirements, where applicable, prior to receiving a license, permit, or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Cleanliness of premises. </w:t>
      </w:r>
      <w:r>
        <w:rPr>
          <w:rFonts w:ascii="Times New Roman" w:hAnsi="Times New Roman"/>
          <w:b w:val="false"/>
          <w:i w:val="false"/>
          <w:color w:val="000000"/>
          <w:sz w:val="22"/>
        </w:rPr>
        <w:t>The interior and exterior of the licensed premises shall be kept clean, free of litter or rubbish, painted and in good repair. Licensees and permittees shall at all times keep and maintain their respective premises in compliance with the laws, orders, ordinances and rules of the state, county and city health and fire departments, and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Toilet facilities. </w:t>
      </w:r>
      <w:r>
        <w:rPr>
          <w:rFonts w:ascii="Times New Roman" w:hAnsi="Times New Roman"/>
          <w:b w:val="false"/>
          <w:i w:val="false"/>
          <w:color w:val="000000"/>
          <w:sz w:val="22"/>
        </w:rPr>
        <w:t>All licensees and permittees who mix, serve, or sell alcoholic beverages for consumption on the licensed premises shall provide for their patrons adequate, conveniently located indoor or outdoor toilet facilities. Compliance with county, city, and department of inspections and appeals’ rules and regulations regarding toilet facilities, including any waivers granted by those authorities, shall constitute compliance with this rule. Outdoor toilet facilities shall be approved by the department of inspections and appeals and the local approving authority where the licensed premises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Water. </w:t>
      </w:r>
      <w:r>
        <w:rPr>
          <w:rFonts w:ascii="Times New Roman" w:hAnsi="Times New Roman"/>
          <w:b w:val="false"/>
          <w:i w:val="false"/>
          <w:color w:val="000000"/>
          <w:sz w:val="22"/>
        </w:rPr>
        <w:t>All licensed premises shall be equipped with hot and cold running water from a source approved by an authorized health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Financial standing and reputation. </w:t>
      </w:r>
      <w:r>
        <w:rPr>
          <w:rFonts w:ascii="Times New Roman" w:hAnsi="Times New Roman"/>
          <w:b w:val="false"/>
          <w:i w:val="false"/>
          <w:color w:val="000000"/>
          <w:sz w:val="22"/>
        </w:rPr>
        <w:t>A local authority or the administrator may consider an applicant’s financial standing and good reputation in addition to the other requirements and conditions for obtaining a license, permit, or certificate of compliance, and the local authority or the administrator shall disapprove or deny an application for a license, permit, or certificate of compliance if the applicant fails to demonstrate that the applicant complies with the lawful requirements and conditions for holding the license, permit, or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evaluating an applicant’s “financial standing,” the local authority or the administrator may consider such factors as, but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Verified source(s) of financial support and adequate operating capital for the applicant’s proposed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 of timely submission of all required federal, state, or local tax returns or forms and prompt payment of all taxes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prompt payment to the local authority of fees or charges made by a local authority for municipal utilities or other municipal services incurred in conjunction with the proposed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record of prompt payment or satisfaction of administrative penalties imposed pursuant to Iowa Code chapter </w:t>
      </w:r>
      <w:hyperlink r:id="rId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record of maintaining, and providing prompt payment for, dramshop liability insurance coverage as required pursuant to Iowa Code chapter </w:t>
      </w:r>
      <w:hyperlink r:id="rId10">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record of prompt payment for license, permit, or certificate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record of prompt payment for alcoholic liquor orders placed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evaluating an applicant’s “good reputation,” the local authority or the administrator may consider such factors as, but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or practice of sales of alcoholic beverages to persons under the legal age for which the licensee or permittee, or the licensee’s or permittee’s agents or employees, have pled or have been found guilty.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pattern or practice by the licensee or permittee, or the licensee’s or permittee’s agents or employees, of violating alcoholic beverages laws and regulations for which corrective action has been taken since the previous license or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Sales to intoxicated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Licensee or permittee convictions for violations of laws relating to operating a motor vehicle while under the influence of drugs or alcohol and the recency of such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Licensee or permittee misdemeanor convictions and the recency of such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pattern or practice by the licensee or permittee, or the licensee’s or permittee’s agents or employees, of failing to cooperate with the department of public safety, the division, the county attorney, the county sheriff and sheriff’s deputies, the city police department, or the city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pattern or practice by the licensee or permittee of violating local ordinances established by the local authority pursuant to Iowa Code section </w:t>
      </w:r>
      <w:hyperlink r:id="rId11">
        <w:r>
          <w:rPr>
            <w:rStyle w:val="Hyperlink"/>
            <w:rFonts w:ascii="Times New Roman" w:hAnsi="Times New Roman"/>
            <w:b w:val="false"/>
            <w:i w:val="false"/>
            <w:color w:val="000000"/>
            <w:sz w:val="22"/>
          </w:rPr>
          <w:t>123.39(2)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pattern or practice by the licensee of failing to report any change in the ownership or interest of the business pursuant to Iowa Code section </w:t>
      </w:r>
      <w:hyperlink r:id="rId12">
        <w:r>
          <w:rPr>
            <w:rStyle w:val="Hyperlink"/>
            <w:rFonts w:ascii="Times New Roman" w:hAnsi="Times New Roman"/>
            <w:b w:val="false"/>
            <w:i w:val="false"/>
            <w:color w:val="000000"/>
            <w:sz w:val="22"/>
          </w:rPr>
          <w:t>123.39(1)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123.3(40)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123.10(11)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 xml:space="preserve">; </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185—4.3</w:t>
      </w:r>
      <w:r>
        <w:rPr>
          <w:rFonts w:ascii="Times New Roman" w:hAnsi="Times New Roman"/>
          <w:b/>
          <w:i w:val="false"/>
          <w:color w:val="000000"/>
          <w:sz w:val="22"/>
        </w:rPr>
        <w:t xml:space="preserve">(123) </w:t>
      </w:r>
      <w:r>
        <w:rPr>
          <w:rFonts w:ascii="Times New Roman" w:hAnsi="Times New Roman"/>
          <w:b/>
          <w:i w:val="false"/>
          <w:color w:val="000000"/>
          <w:sz w:val="22"/>
        </w:rPr>
        <w:t xml:space="preserve">Local ordinances permitted. </w:t>
      </w:r>
      <w:r>
        <w:rPr>
          <w:rFonts w:ascii="Times New Roman" w:hAnsi="Times New Roman"/>
          <w:b w:val="false"/>
          <w:i w:val="false"/>
          <w:color w:val="000000"/>
          <w:sz w:val="22"/>
        </w:rPr>
        <w:t>The foregoing rules shall in no way be construed as to prevent any county, city or town from adopting ordinances or regulations, which are more restrictive, governing licensed establishments within their jurisdiction.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185—4.4</w:t>
      </w:r>
      <w:r>
        <w:rPr>
          <w:rFonts w:ascii="Times New Roman" w:hAnsi="Times New Roman"/>
          <w:b/>
          <w:i w:val="false"/>
          <w:color w:val="000000"/>
          <w:sz w:val="22"/>
        </w:rPr>
        <w:t xml:space="preserve">(123) </w:t>
      </w:r>
      <w:r>
        <w:rPr>
          <w:rFonts w:ascii="Times New Roman" w:hAnsi="Times New Roman"/>
          <w:b/>
          <w:i w:val="false"/>
          <w:color w:val="000000"/>
          <w:sz w:val="22"/>
        </w:rPr>
        <w:t xml:space="preserve">Licensed premises. </w:t>
      </w:r>
      <w:r>
        <w:rPr>
          <w:rFonts w:ascii="Times New Roman" w:hAnsi="Times New Roman"/>
          <w:b w:val="false"/>
          <w:i w:val="false"/>
          <w:color w:val="000000"/>
          <w:sz w:val="22"/>
        </w:rPr>
        <w:t xml:space="preserve">The following criteria must be met before a “place” (as used in Iowa Code section </w:t>
      </w:r>
      <w:hyperlink r:id="rId16">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may be licensed as a “place susceptible of precise description satisfactory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The “place” must be owned by or under the control of the prospective licensee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The “place” must be solely within the jurisdiction of one local approving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“place” must be described by a sketch of the “premises” as defined in Iowa Code section </w:t>
      </w:r>
      <w:hyperlink r:id="rId17">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xml:space="preserve"> and showing the boundaries of the proposed “place”; showing the locations of selling/serving areas within the confines of the “place”; showing all entrances and exits; and indicating the measurements of the “place” and distances between selling/serving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val="false"/>
          <w:color w:val="000000"/>
          <w:sz w:val="22"/>
        </w:rPr>
        <w:t>The “place” must satisfy the health, safety, fire and seating requirements of the division, local authorities and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val="false"/>
          <w:color w:val="000000"/>
          <w:sz w:val="22"/>
        </w:rPr>
        <w:t>Any other criteria as required by the administrator.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185—4.5</w:t>
      </w:r>
      <w:r>
        <w:rPr>
          <w:rFonts w:ascii="Times New Roman" w:hAnsi="Times New Roman"/>
          <w:b/>
          <w:i w:val="false"/>
          <w:color w:val="000000"/>
          <w:sz w:val="22"/>
        </w:rPr>
        <w:t xml:space="preserve">(123) </w:t>
      </w:r>
      <w:r>
        <w:rPr>
          <w:rFonts w:ascii="Times New Roman" w:hAnsi="Times New Roman"/>
          <w:b/>
          <w:i w:val="false"/>
          <w:color w:val="000000"/>
          <w:sz w:val="22"/>
        </w:rPr>
        <w:t xml:space="preserve">Mixed drinks or cocktails not for immediate consumption. </w:t>
      </w:r>
      <w:r>
        <w:rPr>
          <w:rFonts w:ascii="Times New Roman" w:hAnsi="Times New Roman"/>
          <w:b w:val="false"/>
          <w:i w:val="false"/>
          <w:color w:val="000000"/>
          <w:sz w:val="22"/>
        </w:rPr>
        <w:t xml:space="preserve">A class “C,” class “D,” or class “F” retail alcohol licensee may mix, store, and allow the consumption of mixed drinks or cocktails which are not for immediate consumption for up to 72 hours, subject to the requirements and restrictions provided in Iowa Code section </w:t>
      </w:r>
      <w:hyperlink r:id="rId20">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consumption,” </w:t>
      </w:r>
      <w:r>
        <w:rPr>
          <w:rFonts w:ascii="Times New Roman" w:hAnsi="Times New Roman"/>
          <w:b w:val="false"/>
          <w:i w:val="false"/>
          <w:color w:val="000000"/>
          <w:sz w:val="22"/>
        </w:rPr>
        <w:t>for the purposes of this rule, means the compounding and fulfillment of a mixed drink or cocktail order upon receipt of the order for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“Mixed drink or cocktail,” </w:t>
      </w:r>
      <w:r>
        <w:rPr>
          <w:rFonts w:ascii="Times New Roman" w:hAnsi="Times New Roman"/>
          <w:b w:val="false"/>
          <w:i w:val="false"/>
          <w:color w:val="000000"/>
          <w:sz w:val="22"/>
        </w:rPr>
        <w:t xml:space="preserve">for the purposes of this rule, means an alcoholic beverage as defined in Iowa Code section </w:t>
      </w:r>
      <w:hyperlink r:id="rId21">
        <w:r>
          <w:rPr>
            <w:rStyle w:val="Hyperlink"/>
            <w:rFonts w:ascii="Times New Roman" w:hAnsi="Times New Roman"/>
            <w:b w:val="false"/>
            <w:i w:val="false"/>
            <w:color w:val="000000"/>
            <w:sz w:val="22"/>
          </w:rPr>
          <w:t>123.3(32)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Mixed drinks or cocktails which are not for immediate consumption shall be mixed, stored, and consumed on the retail alcohol licensed premises.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Quantity. </w:t>
      </w:r>
      <w:r>
        <w:rPr>
          <w:rFonts w:ascii="Times New Roman" w:hAnsi="Times New Roman"/>
          <w:b w:val="false"/>
          <w:i w:val="false"/>
          <w:color w:val="000000"/>
          <w:sz w:val="22"/>
        </w:rPr>
        <w:t>A mixed drink or cocktail which is not for immediate consumption shall be mixed and stored in, and dispensed from, a labeled container in a quantity not to exceed three gallons.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Container. </w:t>
      </w:r>
      <w:r>
        <w:rPr>
          <w:rFonts w:ascii="Times New Roman" w:hAnsi="Times New Roman"/>
          <w:b w:val="false"/>
          <w:i w:val="false"/>
          <w:color w:val="000000"/>
          <w:sz w:val="22"/>
        </w:rPr>
        <w:t>A mixed drink or cocktail which is not for immediate consumption shall at all times be in a container compliant with applicable state and federal food safety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mixed drink or cocktail shall be mixed and remain stored in the same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mixed drink or cocktail shall be removed from the stored container for one of the following dispensing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compound and fulfill a mixed drink or cocktail order upon receipt of the order for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transfer into a pourable container. The pourable container shall have affixed a label compliant with subrule </w:t>
      </w:r>
      <w:hyperlink r:id="rId22">
        <w:r>
          <w:rPr>
            <w:rStyle w:val="Hyperlink"/>
            <w:rFonts w:ascii="Times New Roman" w:hAnsi="Times New Roman"/>
            <w:b w:val="false"/>
            <w:i w:val="false"/>
            <w:color w:val="000000"/>
            <w:sz w:val="22"/>
          </w:rPr>
          <w:t>4.5(5)</w:t>
        </w:r>
      </w:hyperlink>
      <w:r>
        <w:rPr>
          <w:rFonts w:ascii="Times New Roman" w:hAnsi="Times New Roman"/>
          <w:b w:val="false"/>
          <w:i w:val="false"/>
          <w:color w:val="000000"/>
          <w:sz w:val="22"/>
        </w:rPr>
        <w:t xml:space="preserve"> displaying label information identical to that on the container from which the contents were poured. The expiration date and time shall not be extended by the transfer of product to a pourable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mixed drink or cocktail may be strained into another container when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mixed drink or cocktail is returned without delay to the labeled container from which it was strained.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container and process are compliant with applicable state and federal food safety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original package of alcoholic liquor as purchased from the division or an original package of wine shall not be used to mix, store, or dispense a mixed drink or cocktail, pursuant to Iowa Code section </w:t>
      </w:r>
      <w:hyperlink r:id="rId23">
        <w:r>
          <w:rPr>
            <w:rStyle w:val="Hyperlink"/>
            <w:rFonts w:ascii="Times New Roman" w:hAnsi="Times New Roman"/>
            <w:b w:val="false"/>
            <w:i w:val="false"/>
            <w:color w:val="000000"/>
            <w:sz w:val="22"/>
          </w:rPr>
          <w:t>123.49(2)</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mixed drink or cocktail shall not be mixed, stored, or dispensed from a container bearing an alcoholic beverage name brand.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color w:val="000000"/>
          <w:sz w:val="22"/>
        </w:rPr>
        <w:t xml:space="preserve">Label. </w:t>
      </w:r>
      <w:r>
        <w:rPr>
          <w:rFonts w:ascii="Times New Roman" w:hAnsi="Times New Roman"/>
          <w:b w:val="false"/>
          <w:i w:val="false"/>
          <w:color w:val="000000"/>
          <w:sz w:val="22"/>
        </w:rPr>
        <w:t>A label shall be placed on a container when the contents of the mixed drink or cocktail are placed into the empty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Contents are defined in subrule </w:t>
      </w:r>
      <w:hyperlink r:id="rId24">
        <w:r>
          <w:rPr>
            <w:rStyle w:val="Hyperlink"/>
            <w:rFonts w:ascii="Times New Roman" w:hAnsi="Times New Roman"/>
            <w:b w:val="false"/>
            <w:i w:val="false"/>
            <w:color w:val="000000"/>
            <w:sz w:val="22"/>
          </w:rPr>
          <w:t>4.5(6)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label shall be subject to the following requirements and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label shall be affixed to the container in a conspicuous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label shall legibly identify the month, day, and year the contents are placed into the empty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label shall legibly identify the time the contents were placed into the empty container. The time shall be reported to the minute utilizing the 12-hour clock, and include either the ante meridian (AM) or post meridian (PM) part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label shall legibly identify the month, day, and year the contents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label shall legibly identify the time the contents expire. The time shall be reported in the same manner as reported in subparagraph </w:t>
      </w:r>
      <w:hyperlink r:id="rId25">
        <w:r>
          <w:rPr>
            <w:rStyle w:val="Hyperlink"/>
            <w:rFonts w:ascii="Times New Roman" w:hAnsi="Times New Roman"/>
            <w:b w:val="false"/>
            <w:i w:val="false"/>
            <w:color w:val="000000"/>
            <w:sz w:val="22"/>
          </w:rPr>
          <w:t>4.5(5)</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label shall legibly specify the title of the recipe used for the contents of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label shall legibly identify the person who prepared the contents of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label shall legibly identify the size of the batch within the container and be conspicuously marked with the words “CONTAINS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label shall be removed from the container once the entire contents have been consumed, transferred to a pourable container pursuant to subparagraph </w:t>
      </w:r>
      <w:hyperlink r:id="rId26">
        <w:r>
          <w:rPr>
            <w:rStyle w:val="Hyperlink"/>
            <w:rFonts w:ascii="Times New Roman" w:hAnsi="Times New Roman"/>
            <w:b w:val="false"/>
            <w:i w:val="false"/>
            <w:color w:val="000000"/>
            <w:sz w:val="22"/>
          </w:rPr>
          <w:t>4.5(4)</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or destroyed and disposed of in accordance with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label shall not be reused, nor shall a removed label be reapplied to a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label, subject to the requirements and restrictions of paragraph </w:t>
      </w:r>
      <w:hyperlink r:id="rId27">
        <w:r>
          <w:rPr>
            <w:rStyle w:val="Hyperlink"/>
            <w:rFonts w:ascii="Times New Roman" w:hAnsi="Times New Roman"/>
            <w:b w:val="false"/>
            <w:i w:val="false"/>
            <w:color w:val="000000"/>
            <w:sz w:val="22"/>
          </w:rPr>
          <w:t>4.5(5)</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placed on the container for each prepared batch of mixed drinks or cocktails which is not for immediate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access a label template on the website of the division located at </w:t>
      </w:r>
      <w:hyperlink r:id="rId28">
        <w:r>
          <w:rPr>
            <w:rStyle w:val="Hyperlink"/>
            <w:rFonts w:ascii="Times New Roman" w:hAnsi="Times New Roman"/>
            <w:b w:val="false"/>
            <w:i w:val="false"/>
            <w:color w:val="000000"/>
            <w:sz w:val="22"/>
            <w:u w:val="single"/>
          </w:rPr>
          <w:t>www.IowaABD.com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Contents include alcoholic beverages, nonalcoholic ingredients, or combination thereof, which are not for immediate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is limited to utilizing alcoholic beverages in the mixed drink or cocktail which are authorized by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utilize alcoholic beverages in the mixed drink or cocktail which are obtained as prescribed by Iowa Code chapter </w:t>
      </w:r>
      <w:hyperlink r:id="rId2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added flavors and other nonbeverage ingredients of the mixed drink or cocktail shall not include hallucinogenic substances, added caffeine or added stimulants including but not limited to guarana, ginseng, and taurine, or a controlled substance as defined in Iowa Code section </w:t>
      </w:r>
      <w:hyperlink r:id="rId30">
        <w:r>
          <w:rPr>
            <w:rStyle w:val="Hyperlink"/>
            <w:rFonts w:ascii="Times New Roman" w:hAnsi="Times New Roman"/>
            <w:b w:val="false"/>
            <w:i w:val="false"/>
            <w:color w:val="000000"/>
            <w:sz w:val="22"/>
          </w:rPr>
          <w:t>124.401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w:t>
      </w:r>
      <w:r>
        <w:rPr>
          <w:rFonts w:ascii="Times New Roman" w:hAnsi="Times New Roman"/>
          <w:b w:val="false"/>
          <w:i w:val="false"/>
          <w:color w:val="000000"/>
          <w:sz w:val="22"/>
        </w:rPr>
        <w:t> </w:t>
      </w:r>
      <w:r>
        <w:rPr>
          <w:rFonts w:ascii="Times New Roman" w:hAnsi="Times New Roman"/>
          <w:b w:val="false"/>
          <w:i/>
          <w:color w:val="000000"/>
          <w:sz w:val="22"/>
        </w:rPr>
        <w:t xml:space="preserve">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mixed drink or cocktail, or portion thereof, not consumed within 72 hours of the contents’ being placed into the empty container is expired and shall be destroyed and disposed of in accordance with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expired mixed drink or cocktail which is not for immediate consumption shall not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Added to an empty container and relabeled;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Added to another mixed drink or cocktail which is not for immediate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licensee shall maintain accurate and legible records for each prepared batch of mixed drinks or cocktails which is not for immediate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month, day, and year the contents are placed into the empty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the contents are placed into the empty container. The time shall be reported in the same manner as reported in subparagraph </w:t>
      </w:r>
      <w:hyperlink r:id="rId31">
        <w:r>
          <w:rPr>
            <w:rStyle w:val="Hyperlink"/>
            <w:rFonts w:ascii="Times New Roman" w:hAnsi="Times New Roman"/>
            <w:b w:val="false"/>
            <w:i w:val="false"/>
            <w:color w:val="000000"/>
            <w:sz w:val="22"/>
          </w:rPr>
          <w:t>4.5(5)</w:t>
        </w:r>
        <w:r>
          <w:rPr>
            <w:rFonts w:ascii="Times New Roman" w:hAnsi="Times New Roman"/>
            <w:b w:val="false"/>
            <w:i/>
            <w:color w:val="000000"/>
            <w:sz w:val="22"/>
          </w:rPr>
          <w:t>“b”</w:t>
        </w:r>
      </w:hyperlink>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alcoholic beverage, including the brand and the amount, placed in the container. The amount of each alcoholic beverage shall be reported utilizing the metric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nonalcoholic ingredient placed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recipe title and directions for preparing the contents of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size of the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identity of the person who prepared the contents of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month, day, and year the contents of the container are destroyed and disposed of or entirely consumed.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the contents of the container are destroyed and disposed of or entirely consumed. The time shall be reported in the same manner as reported in subparagraph </w:t>
      </w:r>
      <w:hyperlink r:id="rId32">
        <w:r>
          <w:rPr>
            <w:rStyle w:val="Hyperlink"/>
            <w:rFonts w:ascii="Times New Roman" w:hAnsi="Times New Roman"/>
            <w:b w:val="false"/>
            <w:i w:val="false"/>
            <w:color w:val="000000"/>
            <w:sz w:val="22"/>
          </w:rPr>
          <w:t>4.5(5)</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method of destruction and disposal or shall specify that the entire contents were consumed.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identity of the person who destroyed and disposed of the contents, if the contents were not consumed.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access record-keeping forms on the website of the division located at </w:t>
      </w:r>
      <w:hyperlink r:id="rId33">
        <w:r>
          <w:rPr>
            <w:rStyle w:val="Hyperlink"/>
            <w:rFonts w:ascii="Times New Roman" w:hAnsi="Times New Roman"/>
            <w:b w:val="false"/>
            <w:i w:val="false"/>
            <w:color w:val="000000"/>
            <w:sz w:val="22"/>
            <w:u w:val="single"/>
          </w:rPr>
          <w:t>www.IowaABD.com</w:t>
        </w:r>
      </w:hyperlink>
      <w:r>
        <w:rPr>
          <w:rFonts w:ascii="Times New Roman" w:hAnsi="Times New Roman"/>
          <w:b w:val="false"/>
          <w:i w:val="false"/>
          <w:color w:val="000000"/>
          <w:sz w:val="22"/>
        </w:rPr>
        <w:t>, by sending a request by fax to (515)281-7375, or by sending a request by mail to Alcoholic Beverages Division, 1918 SE Hulsizer Road, Ankeny, Iowa 50021.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shall be maintained on the licensed premises for a period of three years and shall be open to inspection pursuant to Iowa Code section </w:t>
      </w:r>
      <w:hyperlink r:id="rId34">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w:t>
      </w:r>
      <w:r>
        <w:rPr>
          <w:rFonts w:ascii="Times New Roman" w:hAnsi="Times New Roman"/>
          <w:b w:val="false"/>
          <w:i w:val="false"/>
          <w:color w:val="000000"/>
          <w:sz w:val="22"/>
        </w:rPr>
        <w:t> </w:t>
      </w:r>
      <w:r>
        <w:rPr>
          <w:rFonts w:ascii="Times New Roman" w:hAnsi="Times New Roman"/>
          <w:b w:val="false"/>
          <w:i/>
          <w:color w:val="000000"/>
          <w:sz w:val="22"/>
        </w:rPr>
        <w:t xml:space="preserve">Dispensing machines. </w:t>
      </w:r>
      <w:r>
        <w:rPr>
          <w:rFonts w:ascii="Times New Roman" w:hAnsi="Times New Roman"/>
          <w:b w:val="false"/>
          <w:i w:val="false"/>
          <w:color w:val="000000"/>
          <w:sz w:val="22"/>
        </w:rPr>
        <w:t>A dispensing machine which contains a mixed drink or cocktail with alcoholic beverages is subject to the requirements and restrictions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w:t>
      </w:r>
      <w:r>
        <w:rPr>
          <w:rFonts w:ascii="Times New Roman" w:hAnsi="Times New Roman"/>
          <w:b w:val="false"/>
          <w:i w:val="false"/>
          <w:color w:val="000000"/>
          <w:sz w:val="22"/>
        </w:rPr>
        <w:t> </w:t>
      </w:r>
      <w:r>
        <w:rPr>
          <w:rFonts w:ascii="Times New Roman" w:hAnsi="Times New Roman"/>
          <w:b w:val="false"/>
          <w:i/>
          <w:color w:val="000000"/>
          <w:sz w:val="22"/>
        </w:rPr>
        <w:t xml:space="preserve">Food safety compliance. </w:t>
      </w:r>
      <w:r>
        <w:rPr>
          <w:rFonts w:ascii="Times New Roman" w:hAnsi="Times New Roman"/>
          <w:b w:val="false"/>
          <w:i w:val="false"/>
          <w:color w:val="000000"/>
          <w:sz w:val="22"/>
        </w:rPr>
        <w:t>A licensee who mixes, stores, and allows the consumption of mixed drinks or cocktails which are not for immediate consumption shall comply with all applicable state and federal food safety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color w:val="000000"/>
          <w:sz w:val="22"/>
        </w:rPr>
        <w:t xml:space="preserve">Federal alcohol compliance. </w:t>
      </w:r>
      <w:r>
        <w:rPr>
          <w:rFonts w:ascii="Times New Roman" w:hAnsi="Times New Roman"/>
          <w:b w:val="false"/>
          <w:i w:val="false"/>
          <w:color w:val="000000"/>
          <w:sz w:val="22"/>
        </w:rPr>
        <w:t>A licensee who mixes, stores, and allows the consumption of mixed drinks or cocktails which are not for immediate consumption shall comply with all applicable federal statutes and regulations. Prohibitions include but are not limited to processing with non-tax-paid alcoholic liquor, aging alcoholic liquor in barrels, heating alcoholic liquor, bottling alcoholic liquor, and refilling alcoholic liquor or wine bottles.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comply with the requirements and restrictions of this rule shall subject the licensee to the penalty provisions of Iowa Code section </w:t>
      </w:r>
      <w:hyperlink r:id="rId35">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123.49(2)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185—4.6</w:t>
      </w:r>
      <w:r>
        <w:rPr>
          <w:rFonts w:ascii="Times New Roman" w:hAnsi="Times New Roman"/>
          <w:b/>
          <w:i w:val="false"/>
          <w:color w:val="000000"/>
          <w:sz w:val="22"/>
        </w:rPr>
        <w:t xml:space="preserve">(123) </w:t>
      </w:r>
      <w:r>
        <w:rPr>
          <w:rFonts w:ascii="Times New Roman" w:hAnsi="Times New Roman"/>
          <w:b/>
          <w:i w:val="false"/>
          <w:color w:val="000000"/>
          <w:sz w:val="22"/>
        </w:rPr>
        <w:t xml:space="preserve">Filling and selling of beer in a container other than the original container. </w:t>
      </w:r>
      <w:r>
        <w:rPr>
          <w:rFonts w:ascii="Times New Roman" w:hAnsi="Times New Roman"/>
          <w:b w:val="false"/>
          <w:i w:val="false"/>
          <w:color w:val="000000"/>
          <w:sz w:val="22"/>
        </w:rPr>
        <w:t xml:space="preserve">Class “B,” class “C,” special class “C,” and class “E” retail alcohol licensees and the licensee’s employees may fill, refill, and sell beer in a container other than the original container, otherwise known as a growler, subject to the requirements and restrictions provided in Iowa Code section </w:t>
      </w:r>
      <w:hyperlink r:id="rId37">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“Beer,” </w:t>
      </w:r>
      <w:r>
        <w:rPr>
          <w:rFonts w:ascii="Times New Roman" w:hAnsi="Times New Roman"/>
          <w:b w:val="false"/>
          <w:i w:val="false"/>
          <w:color w:val="000000"/>
          <w:sz w:val="22"/>
        </w:rPr>
        <w:t xml:space="preserve">for the purposes of this rule, means “beer” as defined in Iowa Code section </w:t>
      </w:r>
      <w:hyperlink r:id="rId38">
        <w:r>
          <w:rPr>
            <w:rStyle w:val="Hyperlink"/>
            <w:rFonts w:ascii="Times New Roman" w:hAnsi="Times New Roman"/>
            <w:b w:val="false"/>
            <w:i w:val="false"/>
            <w:color w:val="000000"/>
            <w:sz w:val="22"/>
          </w:rPr>
          <w:t>123.3(7)</w:t>
        </w:r>
      </w:hyperlink>
      <w:r>
        <w:rPr>
          <w:rFonts w:ascii="Times New Roman" w:hAnsi="Times New Roman"/>
          <w:b w:val="false"/>
          <w:i w:val="false"/>
          <w:color w:val="000000"/>
          <w:sz w:val="22"/>
        </w:rPr>
        <w:t xml:space="preserve"> and “high alcoholic content beer” as defined in Iowa Code section </w:t>
      </w:r>
      <w:hyperlink r:id="rId39">
        <w:r>
          <w:rPr>
            <w:rStyle w:val="Hyperlink"/>
            <w:rFonts w:ascii="Times New Roman" w:hAnsi="Times New Roman"/>
            <w:b w:val="false"/>
            <w:i w:val="false"/>
            <w:color w:val="000000"/>
            <w:sz w:val="22"/>
          </w:rPr>
          <w:t>123.3(22)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“Growler,” </w:t>
      </w:r>
      <w:r>
        <w:rPr>
          <w:rFonts w:ascii="Times New Roman" w:hAnsi="Times New Roman"/>
          <w:b w:val="false"/>
          <w:i w:val="false"/>
          <w:color w:val="000000"/>
          <w:sz w:val="22"/>
        </w:rPr>
        <w:t>for the purposes of this rule, means any fillable and sealable glass, ceramic, plastic, aluminum, or stainless steel container designed to hold beer or high alcoholic content beer.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container,” </w:t>
      </w:r>
      <w:r>
        <w:rPr>
          <w:rFonts w:ascii="Times New Roman" w:hAnsi="Times New Roman"/>
          <w:b w:val="false"/>
          <w:i w:val="false"/>
          <w:color w:val="000000"/>
          <w:sz w:val="22"/>
        </w:rPr>
        <w:t>for the purposes of this rule, means a vessel containing beer that has been lawfully obtained and has been securely capped, sealed, or corked at the location of manufacture. For special class “A” beer permit holders, an “original container” includes a tank used for storing and serving beer.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Filling and refilling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shall have the capacity to hold no more than 72 ounces.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growler shall be filled or refilled only by the licensee or permittee or the licensee’s or permittee’s employees who are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growler shall be filled or refilled only on demand by a consumer at the time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growler shall be filled or refilled only with beer from the original container procured from a class “A” beer permittee unless the beer being used to fill or refill a growler on the premises of a special class “A” beer permit holder was manufactured by that special class “A” beer permit holder on the permitted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retailer may exchange a growler to be filled or refilled.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filling or refilling of a growler shall at all times be conducted in compliance with applicable state and federal food safety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Sealing requirements. </w:t>
      </w:r>
      <w:r>
        <w:rPr>
          <w:rFonts w:ascii="Times New Roman" w:hAnsi="Times New Roman"/>
          <w:b w:val="false"/>
          <w:i w:val="false"/>
          <w:color w:val="000000"/>
          <w:sz w:val="22"/>
        </w:rPr>
        <w:t>A filled or refilled growler shall be securely sealed at the time of the sale by the licensee or permittee or the licensee’s or permittee’s employees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shall bear a cap, lid, stopper, or plug.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plastic heat shrink wrap band, strip, or sleeve shall extend around the cap or lid or over the stopper or plug to form a seal that must be broken upon the opening of the growler. A lid permanently affixed with a can seamer shall not require a plastic heat shrink wrap band, strip, or sleeve.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heat shrink wrap seal shall be so secure that it is visibly apparent when the seal on a growler has been tampered with or a sealed growler has otherwise been reopened.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growler shall not be deemed an open container, subject to the requirements of Iowa Code sections </w:t>
      </w:r>
      <w:hyperlink r:id="rId40">
        <w:r>
          <w:rPr>
            <w:rStyle w:val="Hyperlink"/>
            <w:rFonts w:ascii="Times New Roman" w:hAnsi="Times New Roman"/>
            <w:b w:val="false"/>
            <w:i w:val="false"/>
            <w:color w:val="000000"/>
            <w:sz w:val="22"/>
          </w:rPr>
          <w:t>321.284</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321.284A</w:t>
        </w:r>
      </w:hyperlink>
      <w:r>
        <w:rPr>
          <w:rFonts w:ascii="Times New Roman" w:hAnsi="Times New Roman"/>
          <w:b w:val="false"/>
          <w:i w:val="false"/>
          <w:color w:val="000000"/>
          <w:sz w:val="22"/>
        </w:rPr>
        <w:t>, provided the sealed growler is unopened and the seal has not been tampered with and the contents of the growler have not been partially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shall not be filled in advance of a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shall not be delivered or direct-shipped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shall not be sold or otherwise distributed to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or permittee or a licensee’s or permittee’s employees shall not allow a consumer to fill or refill a growler.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filling, refilling and selling of a growler shall be limited to the hours in which alcoholic beverages may be legally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filled or refilled growler shall not be sold to any consumer who is under legal age, intoxicated, or simulating intoxication.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original container shall only be opened on the premises of a class “B” or class “E” retail alcohol licensee for the limited purposes of filling or refilling a growler as provided in this rule, or for a tasting in accordance with rule </w:t>
      </w:r>
      <w:hyperlink r:id="rId42">
        <w:r>
          <w:rPr>
            <w:rStyle w:val="Hyperlink"/>
            <w:rFonts w:ascii="Times New Roman" w:hAnsi="Times New Roman"/>
            <w:b w:val="false"/>
            <w:i w:val="false"/>
            <w:color w:val="000000"/>
            <w:sz w:val="22"/>
          </w:rPr>
          <w:t>185—16.7(123)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comply with the requirements and restrictions of this rule shall subject the licensee or permittee to the penalty provisions provided in Iowa Code chapter </w:t>
      </w:r>
      <w:hyperlink r:id="rId43">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185—4.7</w:t>
      </w:r>
      <w:r>
        <w:rPr>
          <w:rFonts w:ascii="Times New Roman" w:hAnsi="Times New Roman"/>
          <w:b/>
          <w:i w:val="false"/>
          <w:color w:val="000000"/>
          <w:sz w:val="22"/>
        </w:rPr>
        <w:t xml:space="preserve">(123) </w:t>
      </w:r>
      <w:r>
        <w:rPr>
          <w:rFonts w:ascii="Times New Roman" w:hAnsi="Times New Roman"/>
          <w:b/>
          <w:i w:val="false"/>
          <w:color w:val="000000"/>
          <w:sz w:val="22"/>
        </w:rPr>
        <w:t xml:space="preserve">Improper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Illegality on premises. </w:t>
      </w:r>
      <w:r>
        <w:rPr>
          <w:rFonts w:ascii="Times New Roman" w:hAnsi="Times New Roman"/>
          <w:b w:val="false"/>
          <w:i w:val="false"/>
          <w:color w:val="000000"/>
          <w:sz w:val="22"/>
        </w:rPr>
        <w:t>No retail alcohol licensee, or the licensee’s agent or employee, shall engage in any illegal occupation or illegal act on the licensed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law enforcement officers. </w:t>
      </w:r>
      <w:r>
        <w:rPr>
          <w:rFonts w:ascii="Times New Roman" w:hAnsi="Times New Roman"/>
          <w:b w:val="false"/>
          <w:i w:val="false"/>
          <w:color w:val="000000"/>
          <w:sz w:val="22"/>
        </w:rPr>
        <w:t>No retail alcohol licensee, or the licensee’s agent or employee, shall refuse, fail or neglect to cooperate with any law enforcement officer in the performance of such officer’s duties to enforce the provisions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color w:val="000000"/>
          <w:sz w:val="22"/>
        </w:rPr>
        <w:t xml:space="preserve">Illegal activities. </w:t>
      </w:r>
      <w:r>
        <w:rPr>
          <w:rFonts w:ascii="Times New Roman" w:hAnsi="Times New Roman"/>
          <w:b w:val="false"/>
          <w:i w:val="false"/>
          <w:color w:val="000000"/>
          <w:sz w:val="22"/>
        </w:rPr>
        <w:t xml:space="preserve">No retail alcohol licensee, or the licensee’s agent or employee, shall knowingly allow in or upon the licensed premises any conduct as defined in Iowa Code sections </w:t>
      </w:r>
      <w:hyperlink r:id="rId45">
        <w:r>
          <w:rPr>
            <w:rStyle w:val="Hyperlink"/>
            <w:rFonts w:ascii="Times New Roman" w:hAnsi="Times New Roman"/>
            <w:b w:val="false"/>
            <w:i w:val="false"/>
            <w:color w:val="000000"/>
            <w:sz w:val="22"/>
          </w:rPr>
          <w:t>725.1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725.2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725.3</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728.2</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728.3</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728.5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color w:val="000000"/>
          <w:sz w:val="22"/>
        </w:rPr>
        <w:t xml:space="preserve">Frequenting premises. </w:t>
      </w:r>
      <w:r>
        <w:rPr>
          <w:rFonts w:ascii="Times New Roman" w:hAnsi="Times New Roman"/>
          <w:b w:val="false"/>
          <w:i w:val="false"/>
          <w:color w:val="000000"/>
          <w:sz w:val="22"/>
        </w:rPr>
        <w:t>No retail alcohol licensee, or the licensee’s agent or employee, shall knowingly permit the licensed premises to be frequented by or become the meeting place, hangout or rendezvous for known pimps, panhandlers or prostitutes, or those who are known to engage in the use, sale or distribution of narcotics, or in any other illegal occupation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color w:val="000000"/>
          <w:sz w:val="22"/>
        </w:rPr>
        <w:t xml:space="preserve">Open containers of alcoholic beverages. </w:t>
      </w:r>
      <w:r>
        <w:rPr>
          <w:rFonts w:ascii="Times New Roman" w:hAnsi="Times New Roman"/>
          <w:b w:val="false"/>
          <w:i w:val="false"/>
          <w:color w:val="000000"/>
          <w:sz w:val="22"/>
        </w:rPr>
        <w:t xml:space="preserve">No retail alcohol licensee, or the licensee’s agent or employee, shall allow any filled, partially filled, or empty liquor glasses or liquor bottles to be taken off the licensed premises, excluding mixed drinks or cocktails pursuant to Iowa Code section </w:t>
      </w:r>
      <w:hyperlink r:id="rId51">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(3). A class “E” retail alcohol licensee, or the licensee’s agent or employee, shall not permit other licensees or consumers to remove partially filled, empty, open or unsealed containers of alcoholic liquor from the class “E” retail alcohol licensed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w:t>
      </w:r>
      <w:r>
        <w:rPr>
          <w:rFonts w:ascii="Times New Roman" w:hAnsi="Times New Roman"/>
          <w:b w:val="false"/>
          <w:i w:val="false"/>
          <w:color w:val="000000"/>
          <w:sz w:val="22"/>
        </w:rPr>
        <w:t> </w:t>
      </w:r>
      <w:r>
        <w:rPr>
          <w:rFonts w:ascii="Times New Roman" w:hAnsi="Times New Roman"/>
          <w:b w:val="false"/>
          <w:i/>
          <w:color w:val="000000"/>
          <w:sz w:val="22"/>
        </w:rPr>
        <w:t xml:space="preserve">Identifying markers. </w:t>
      </w:r>
      <w:r>
        <w:rPr>
          <w:rFonts w:ascii="Times New Roman" w:hAnsi="Times New Roman"/>
          <w:b w:val="false"/>
          <w:i w:val="false"/>
          <w:color w:val="000000"/>
          <w:sz w:val="22"/>
        </w:rPr>
        <w:t>A licensee shall not keep on the licensed premises nor use for resale alcoholic liquor which does not bear identifying markers as prescribed by the administrator of the division. Identifying markers shall demonstrate that the alcoholic liquor was lawfully purchased from the division.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123.49(2)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185—4.8</w:t>
      </w:r>
      <w:r>
        <w:rPr>
          <w:rFonts w:ascii="Times New Roman" w:hAnsi="Times New Roman"/>
          <w:b/>
          <w:i w:val="false"/>
          <w:color w:val="000000"/>
          <w:sz w:val="22"/>
        </w:rPr>
        <w:t xml:space="preserve">(123) </w:t>
      </w:r>
      <w:r>
        <w:rPr>
          <w:rFonts w:ascii="Times New Roman" w:hAnsi="Times New Roman"/>
          <w:b/>
          <w:i w:val="false"/>
          <w:color w:val="000000"/>
          <w:sz w:val="22"/>
        </w:rPr>
        <w:t xml:space="preserve">Violation by agent, servant or employee. </w:t>
      </w:r>
      <w:r>
        <w:rPr>
          <w:rFonts w:ascii="Times New Roman" w:hAnsi="Times New Roman"/>
          <w:b w:val="false"/>
          <w:i w:val="false"/>
          <w:color w:val="000000"/>
          <w:sz w:val="22"/>
        </w:rPr>
        <w:t>Any violation of the Act or the rules of the division by any employee, agent or servant of a licensee shall be deemed to be the act of the licensee and shall subject the license of said licensee to suspension or revocation.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123.49(2)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185—4.9</w:t>
      </w:r>
      <w:r>
        <w:rPr>
          <w:rFonts w:ascii="Times New Roman" w:hAnsi="Times New Roman"/>
          <w:b/>
          <w:i w:val="false"/>
          <w:color w:val="000000"/>
          <w:sz w:val="22"/>
        </w:rPr>
        <w:t xml:space="preserve">(123) </w:t>
      </w:r>
      <w:r>
        <w:rPr>
          <w:rFonts w:ascii="Times New Roman" w:hAnsi="Times New Roman"/>
          <w:b/>
          <w:i w:val="false"/>
          <w:color w:val="000000"/>
          <w:sz w:val="22"/>
        </w:rPr>
        <w:t xml:space="preserve">Gambling evidence. </w:t>
      </w:r>
      <w:r>
        <w:rPr>
          <w:rFonts w:ascii="Times New Roman" w:hAnsi="Times New Roman"/>
          <w:b w:val="false"/>
          <w:i w:val="false"/>
          <w:color w:val="000000"/>
          <w:sz w:val="22"/>
        </w:rPr>
        <w:t xml:space="preserve">The intentional possession or willful keeping of any gambling device as defined in Iowa Code section </w:t>
      </w:r>
      <w:hyperlink r:id="rId55">
        <w:r>
          <w:rPr>
            <w:rStyle w:val="Hyperlink"/>
            <w:rFonts w:ascii="Times New Roman" w:hAnsi="Times New Roman"/>
            <w:b w:val="false"/>
            <w:i w:val="false"/>
            <w:color w:val="000000"/>
            <w:sz w:val="22"/>
          </w:rPr>
          <w:t>725.9</w:t>
        </w:r>
      </w:hyperlink>
      <w:r>
        <w:rPr>
          <w:rFonts w:ascii="Times New Roman" w:hAnsi="Times New Roman"/>
          <w:b w:val="false"/>
          <w:i w:val="false"/>
          <w:color w:val="000000"/>
          <w:sz w:val="22"/>
        </w:rPr>
        <w:t xml:space="preserve"> upon the premises of any establishment licensed by the division shall be prima facie evidence of a violation of Iowa Code section </w:t>
      </w:r>
      <w:hyperlink r:id="rId56">
        <w:r>
          <w:rPr>
            <w:rStyle w:val="Hyperlink"/>
            <w:rFonts w:ascii="Times New Roman" w:hAnsi="Times New Roman"/>
            <w:b w:val="false"/>
            <w:i w:val="false"/>
            <w:color w:val="000000"/>
            <w:sz w:val="22"/>
          </w:rPr>
          <w:t>123.49(2)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subject the license of said licensee to suspension or revocation.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7">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185—4.10</w:t>
      </w:r>
      <w:r>
        <w:rPr>
          <w:rFonts w:ascii="Times New Roman" w:hAnsi="Times New Roman"/>
          <w:b/>
          <w:i w:val="false"/>
          <w:color w:val="000000"/>
          <w:sz w:val="22"/>
        </w:rPr>
        <w:t xml:space="preserve">(123) </w:t>
      </w:r>
      <w:r>
        <w:rPr>
          <w:rFonts w:ascii="Times New Roman" w:hAnsi="Times New Roman"/>
          <w:b/>
          <w:i w:val="false"/>
          <w:color w:val="000000"/>
          <w:sz w:val="22"/>
        </w:rPr>
        <w:t xml:space="preserve">Filling and selling of mixed drinks or cocktails in a container other than the original container. </w:t>
      </w:r>
      <w:r>
        <w:rPr>
          <w:rFonts w:ascii="Times New Roman" w:hAnsi="Times New Roman"/>
          <w:b w:val="false"/>
          <w:i w:val="false"/>
          <w:color w:val="000000"/>
          <w:sz w:val="22"/>
        </w:rPr>
        <w:t xml:space="preserve">Class “C” and class “C” native distilled spirits liquor control licensees and the licensee’s employees may fill and sell mixed drinks or cocktails in a container other than the original container subject to the requirements and restrictions provided in </w:t>
      </w:r>
      <w:r>
        <w:rPr>
          <w:rFonts w:ascii="Times New Roman" w:hAnsi="Times New Roman"/>
          <w:b w:val="false"/>
          <w:i w:val="false"/>
          <w:color w:val="000000"/>
          <w:sz w:val="22"/>
        </w:rPr>
        <w:t>2020 Iowa Acts, House File 2540</w:t>
      </w:r>
      <w:r>
        <w:rPr>
          <w:rFonts w:ascii="Times New Roman" w:hAnsi="Times New Roman"/>
          <w:b w:val="false"/>
          <w:i w:val="false"/>
          <w:color w:val="000000"/>
          <w:sz w:val="22"/>
        </w:rPr>
        <w:t>, sections 10, 11, 12, and 13,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“Alcoholic liquor,” </w:t>
      </w:r>
      <w:r>
        <w:rPr>
          <w:rFonts w:ascii="Times New Roman" w:hAnsi="Times New Roman"/>
          <w:b w:val="false"/>
          <w:i w:val="false"/>
          <w:color w:val="000000"/>
          <w:sz w:val="22"/>
        </w:rPr>
        <w:t xml:space="preserve">for the purposes of this rule, means “alcoholic liquor” as defined in Iowa Code section </w:t>
      </w:r>
      <w:hyperlink r:id="rId59">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“Mixed drink or cocktail,” </w:t>
      </w:r>
      <w:r>
        <w:rPr>
          <w:rFonts w:ascii="Times New Roman" w:hAnsi="Times New Roman"/>
          <w:b w:val="false"/>
          <w:i w:val="false"/>
          <w:color w:val="000000"/>
          <w:sz w:val="22"/>
        </w:rPr>
        <w:t xml:space="preserve">for the purposes of this rule, means “mixed drink or cocktail” as defined in Iowa Code section </w:t>
      </w:r>
      <w:hyperlink r:id="rId60">
        <w:r>
          <w:rPr>
            <w:rStyle w:val="Hyperlink"/>
            <w:rFonts w:ascii="Times New Roman" w:hAnsi="Times New Roman"/>
            <w:b w:val="false"/>
            <w:i w:val="false"/>
            <w:color w:val="000000"/>
            <w:sz w:val="22"/>
          </w:rPr>
          <w:t>123.3(32)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“Native distilled spirits,” </w:t>
      </w:r>
      <w:r>
        <w:rPr>
          <w:rFonts w:ascii="Times New Roman" w:hAnsi="Times New Roman"/>
          <w:b w:val="false"/>
          <w:i w:val="false"/>
          <w:color w:val="000000"/>
          <w:sz w:val="22"/>
        </w:rPr>
        <w:t xml:space="preserve">for the purposes of this rule, means “native distilled spirits” as defined in Iowa Code section </w:t>
      </w:r>
      <w:hyperlink r:id="rId61">
        <w:r>
          <w:rPr>
            <w:rStyle w:val="Hyperlink"/>
            <w:rFonts w:ascii="Times New Roman" w:hAnsi="Times New Roman"/>
            <w:b w:val="false"/>
            <w:i w:val="false"/>
            <w:color w:val="000000"/>
            <w:sz w:val="22"/>
          </w:rPr>
          <w:t>123.3(34)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container,” </w:t>
      </w:r>
      <w:r>
        <w:rPr>
          <w:rFonts w:ascii="Times New Roman" w:hAnsi="Times New Roman"/>
          <w:b w:val="false"/>
          <w:i w:val="false"/>
          <w:color w:val="000000"/>
          <w:sz w:val="22"/>
        </w:rPr>
        <w:t>for the purposes of this rule, means a vessel containing alcoholic liquor or native distilled spirits that has been lawfully obtained and has been securely capped, sealed, or corked at the location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“Sealed container,” </w:t>
      </w:r>
      <w:r>
        <w:rPr>
          <w:rFonts w:ascii="Times New Roman" w:hAnsi="Times New Roman"/>
          <w:b w:val="false"/>
          <w:i w:val="false"/>
          <w:color w:val="000000"/>
          <w:sz w:val="22"/>
        </w:rPr>
        <w:t>for the purposes of this rule, means a vessel containing a mixed drink or cocktail that is designed to prevent consumption without removal of the tamper-evident lid, cap, or seal. “Sealed container” does not include a container with a lid with sipping holes or openings for straws, a cup made of plastic that is intended for one-time use, or a cup made of paper or polystyrene foam.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“Tamper-evident,” </w:t>
      </w:r>
      <w:r>
        <w:rPr>
          <w:rFonts w:ascii="Times New Roman" w:hAnsi="Times New Roman"/>
          <w:b w:val="false"/>
          <w:i w:val="false"/>
          <w:color w:val="000000"/>
          <w:sz w:val="22"/>
        </w:rPr>
        <w:t>for the purposes of this rule, means a lid, cap, or seal that visibly demonstrates when a container has been 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color w:val="000000"/>
          <w:sz w:val="22"/>
        </w:rPr>
        <w:t xml:space="preserve">Filling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sealed container shall be filled and sold only by the licensee or the licensee’s employees who are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sealed container shall be filled only upon receipt of an order by a consumer of legal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sealed container shall be filled only with mixed drinks or cocktails composed in whole or in part with alcoholic liquor or native distilled spirits from an original container purchased from a class “E” liquor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filling of a sealed container shall at all times be conducted in compliance with applicable state and federal food safety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4.10(3)</w:t>
      </w:r>
      <w:r>
        <w:rPr>
          <w:rFonts w:ascii="Times New Roman" w:hAnsi="Times New Roman"/>
          <w:b w:val="false"/>
          <w:i w:val="false"/>
          <w:color w:val="000000"/>
          <w:sz w:val="22"/>
        </w:rPr>
        <w:t> </w:t>
      </w:r>
      <w:r>
        <w:rPr>
          <w:rFonts w:ascii="Times New Roman" w:hAnsi="Times New Roman"/>
          <w:b w:val="false"/>
          <w:i/>
          <w:color w:val="000000"/>
          <w:sz w:val="22"/>
        </w:rPr>
        <w:t xml:space="preserve">Sealing requirements. </w:t>
      </w:r>
      <w:r>
        <w:rPr>
          <w:rFonts w:ascii="Times New Roman" w:hAnsi="Times New Roman"/>
          <w:b w:val="false"/>
          <w:i w:val="false"/>
          <w:color w:val="000000"/>
          <w:sz w:val="22"/>
        </w:rPr>
        <w:t>A sealed container shall bear one of the following tamper-evident sealing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plastic heat shrink wrap band, strip, or sleeve extending around the cap or lid to form a seal that must be broken when the container is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screw top cap or lid that breaks apart when the container is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vacuum or heat-sealed pouch containing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4.10(4)</w:t>
      </w:r>
      <w:r>
        <w:rPr>
          <w:rFonts w:ascii="Times New Roman" w:hAnsi="Times New Roman"/>
          <w:b w:val="false"/>
          <w:i w:val="false"/>
          <w:color w:val="000000"/>
          <w:sz w:val="22"/>
        </w:rPr>
        <w:t> </w:t>
      </w:r>
      <w:r>
        <w:rPr>
          <w:rFonts w:ascii="Times New Roman" w:hAnsi="Times New Roman"/>
          <w:b w:val="false"/>
          <w:i/>
          <w:color w:val="000000"/>
          <w:sz w:val="22"/>
        </w:rPr>
        <w:t xml:space="preserve">Labeling requirements. </w:t>
      </w:r>
      <w:r>
        <w:rPr>
          <w:rFonts w:ascii="Times New Roman" w:hAnsi="Times New Roman"/>
          <w:b w:val="false"/>
          <w:i w:val="false"/>
          <w:color w:val="000000"/>
          <w:sz w:val="22"/>
        </w:rPr>
        <w:t>A sealed container shall bear a label affixed to the container in a conspicuous place legibly indicating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name of the licensee that sold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words “CONTAINS ALCOHOL.”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4.10(5)</w:t>
      </w:r>
      <w:r>
        <w:rPr>
          <w:rFonts w:ascii="Times New Roman" w:hAnsi="Times New Roman"/>
          <w:b w:val="false"/>
          <w:i w:val="false"/>
          <w:color w:val="000000"/>
          <w:sz w:val="22"/>
        </w:rPr>
        <w:t> </w:t>
      </w:r>
      <w:r>
        <w:rPr>
          <w:rFonts w:ascii="Times New Roman" w:hAnsi="Times New Roman"/>
          <w:b w:val="false"/>
          <w:i/>
          <w:color w:val="000000"/>
          <w:sz w:val="22"/>
        </w:rPr>
        <w:t xml:space="preserve">Sealed container not deemed an open container. </w:t>
      </w:r>
      <w:r>
        <w:rPr>
          <w:rFonts w:ascii="Times New Roman" w:hAnsi="Times New Roman"/>
          <w:b w:val="false"/>
          <w:i w:val="false"/>
          <w:color w:val="000000"/>
          <w:sz w:val="22"/>
        </w:rPr>
        <w:t xml:space="preserve">A sealed container shall not be deemed an open container, subject to the requirements of Iowa Code sections </w:t>
      </w:r>
      <w:hyperlink r:id="rId62">
        <w:r>
          <w:rPr>
            <w:rStyle w:val="Hyperlink"/>
            <w:rFonts w:ascii="Times New Roman" w:hAnsi="Times New Roman"/>
            <w:b w:val="false"/>
            <w:i w:val="false"/>
            <w:color w:val="000000"/>
            <w:sz w:val="22"/>
          </w:rPr>
          <w:t>321.284</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321.284A</w:t>
        </w:r>
      </w:hyperlink>
      <w:r>
        <w:rPr>
          <w:rFonts w:ascii="Times New Roman" w:hAnsi="Times New Roman"/>
          <w:b w:val="false"/>
          <w:i w:val="false"/>
          <w:color w:val="000000"/>
          <w:sz w:val="22"/>
        </w:rPr>
        <w:t>, provided the sealed container is unopened, the seal has not been tampered with, and the contents of the sealed container have not been partially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4.10(6)</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sealed container shall not be filled in advance of a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sealed container shall not meet the definition of “canned cocktail” as defined in Iowa Code section </w:t>
      </w:r>
      <w:hyperlink r:id="rId64">
        <w:r>
          <w:rPr>
            <w:rStyle w:val="Hyperlink"/>
            <w:rFonts w:ascii="Times New Roman" w:hAnsi="Times New Roman"/>
            <w:b w:val="false"/>
            <w:i w:val="false"/>
            <w:color w:val="000000"/>
            <w:sz w:val="22"/>
          </w:rPr>
          <w:t>123.3(11)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or a licensee’s employees shall not allow a consumer to fill a sealed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filling and selling of a sealed container shall be limited to the hours in which alcoholic beverages may be legally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sealed container shall not be sold to any consumer who is under legal age,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4.10(7)</w:t>
      </w:r>
      <w:r>
        <w:rPr>
          <w:rFonts w:ascii="Times New Roman" w:hAnsi="Times New Roman"/>
          <w:b w:val="false"/>
          <w:i w:val="false"/>
          <w:color w:val="000000"/>
          <w:sz w:val="22"/>
        </w:rPr>
        <w:t> </w:t>
      </w:r>
      <w:r>
        <w:rPr>
          <w:rFonts w:ascii="Times New Roman" w:hAnsi="Times New Roman"/>
          <w:b w:val="false"/>
          <w:i/>
          <w:color w:val="000000"/>
          <w:sz w:val="22"/>
        </w:rPr>
        <w:t xml:space="preserve">Record 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records, in printed or electronic format, of all sales of sealed containers. The records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business name of the licensee that sold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product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shall keep the required records for a three-year period from the date the record was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shall be open to inspection pursuant to Iowa Code section </w:t>
      </w:r>
      <w:hyperlink r:id="rId65">
        <w:r>
          <w:rPr>
            <w:rStyle w:val="Hyperlink"/>
            <w:rFonts w:ascii="Times New Roman" w:hAnsi="Times New Roman"/>
            <w:b w:val="false"/>
            <w:i w:val="false"/>
            <w:color w:val="000000"/>
            <w:sz w:val="22"/>
          </w:rPr>
          <w:t>123.30(1)</w:t>
        </w:r>
      </w:hyperlink>
      <w:r>
        <w:rPr>
          <w:rFonts w:ascii="Times New Roman" w:hAnsi="Times New Roman"/>
          <w:b w:val="false"/>
          <w:i w:val="false"/>
          <w:color w:val="000000"/>
          <w:sz w:val="22"/>
        </w:rPr>
        <w:t>, and may be subject to administrative subpoena issued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4.10(8)</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comply with the requirements and restrictions of this rule shall subject the licensee to the penalty provisions provided in Iowa Code chapter </w:t>
      </w:r>
      <w:hyperlink r:id="rId6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123.43A</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5338C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185—4.11</w:t>
      </w:r>
      <w:r>
        <w:rPr>
          <w:rFonts w:ascii="Times New Roman" w:hAnsi="Times New Roman"/>
          <w:b/>
          <w:i w:val="false"/>
          <w:color w:val="000000"/>
          <w:sz w:val="22"/>
        </w:rPr>
        <w:t xml:space="preserve">(123) </w:t>
      </w:r>
      <w:r>
        <w:rPr>
          <w:rFonts w:ascii="Times New Roman" w:hAnsi="Times New Roman"/>
          <w:b/>
          <w:i w:val="false"/>
          <w:color w:val="000000"/>
          <w:sz w:val="22"/>
        </w:rPr>
        <w:t xml:space="preserve">Filling and selling of wine and native wine in a container other than the original container. </w:t>
      </w:r>
      <w:r>
        <w:rPr>
          <w:rFonts w:ascii="Times New Roman" w:hAnsi="Times New Roman"/>
          <w:b w:val="false"/>
          <w:i w:val="false"/>
          <w:color w:val="000000"/>
          <w:sz w:val="22"/>
        </w:rPr>
        <w:t xml:space="preserve">Class “B,” class “C,” special class “C,” and class “E” retail alcohol licensees; special class “B” and special class “C” retail native wine licensees; and the licensee’s employees may fill, refill, and sell wine or native wine in a container other than the original container, otherwise known as a growler, subject to the requirements and restrictions provided in Iowa Code sections </w:t>
      </w:r>
      <w:hyperlink r:id="rId70">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123.31B</w:t>
        </w:r>
      </w:hyperlink>
      <w:r>
        <w:rPr>
          <w:rFonts w:ascii="Times New Roman" w:hAnsi="Times New Roman"/>
          <w:b w:val="false"/>
          <w:i w:val="false"/>
          <w:color w:val="000000"/>
          <w:sz w:val="22"/>
        </w:rPr>
        <w:t xml:space="preserve"> and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“Growler,” </w:t>
      </w:r>
      <w:r>
        <w:rPr>
          <w:rFonts w:ascii="Times New Roman" w:hAnsi="Times New Roman"/>
          <w:b w:val="false"/>
          <w:i w:val="false"/>
          <w:color w:val="000000"/>
          <w:sz w:val="22"/>
        </w:rPr>
        <w:t>for the purposes of this rule, means any fillable and sealable glass, ceramic, plastic, aluminum, or stainless steel container designed to hold wine or native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“Native wine,” </w:t>
      </w:r>
      <w:r>
        <w:rPr>
          <w:rFonts w:ascii="Times New Roman" w:hAnsi="Times New Roman"/>
          <w:b w:val="false"/>
          <w:i w:val="false"/>
          <w:color w:val="000000"/>
          <w:sz w:val="22"/>
        </w:rPr>
        <w:t xml:space="preserve">for the purposes of this rule, means the same as defined in Iowa Code section </w:t>
      </w:r>
      <w:hyperlink r:id="rId73">
        <w:r>
          <w:rPr>
            <w:rStyle w:val="Hyperlink"/>
            <w:rFonts w:ascii="Times New Roman" w:hAnsi="Times New Roman"/>
            <w:b w:val="false"/>
            <w:i w:val="false"/>
            <w:color w:val="000000"/>
            <w:sz w:val="22"/>
          </w:rPr>
          <w:t>123.3(36)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container,” </w:t>
      </w:r>
      <w:r>
        <w:rPr>
          <w:rFonts w:ascii="Times New Roman" w:hAnsi="Times New Roman"/>
          <w:b w:val="false"/>
          <w:i w:val="false"/>
          <w:color w:val="000000"/>
          <w:sz w:val="22"/>
        </w:rPr>
        <w:t>for the purposes of this rule, means a vessel containing wine or native wine that has been lawfully obtained and has been securely capped, sealed, or corked at the location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“Wine,” </w:t>
      </w:r>
      <w:r>
        <w:rPr>
          <w:rFonts w:ascii="Times New Roman" w:hAnsi="Times New Roman"/>
          <w:b w:val="false"/>
          <w:i w:val="false"/>
          <w:color w:val="000000"/>
          <w:sz w:val="22"/>
        </w:rPr>
        <w:t xml:space="preserve">for the purposes of this rule, means the same as defined in Iowa Code section </w:t>
      </w:r>
      <w:hyperlink r:id="rId74">
        <w:r>
          <w:rPr>
            <w:rStyle w:val="Hyperlink"/>
            <w:rFonts w:ascii="Times New Roman" w:hAnsi="Times New Roman"/>
            <w:b w:val="false"/>
            <w:i w:val="false"/>
            <w:color w:val="000000"/>
            <w:sz w:val="22"/>
          </w:rPr>
          <w:t>123.3(53)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Filling and refilling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shall have the capacity to hold no more than 72 ounces.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growler shall be filled or refilled only by the licensee or the licensee’s employees who are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growler shall be filled or refilled only on demand by a consumer at the time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growler shall be filled or refilled only with wine or native wine from the original container procured from a class “A” wine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 class “B” and special class “C” retail native wine licensees shall fill a growler with only native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retailer may exchange a growler to be filled or refilled.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filling or refilling of a growler shall at all times be conducted in compliance with applicable state and federal food safety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Sealing requirements. </w:t>
      </w:r>
      <w:r>
        <w:rPr>
          <w:rFonts w:ascii="Times New Roman" w:hAnsi="Times New Roman"/>
          <w:b w:val="false"/>
          <w:i w:val="false"/>
          <w:color w:val="000000"/>
          <w:sz w:val="22"/>
        </w:rPr>
        <w:t>A filled or refilled growler shall be securely sealed at the time of the sale by the licensee or the licensee’s employees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shall bear a cap, lid, stopper, or plug.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plastic heat shrink wrap band, strip, or sleeve shall extend around the cap or lid or over the stopper or plug to form a seal that must be broken upon the opening of the growler. A lid permanently affixed with a can seamer shall not require a plastic heat shrink wrap band, strip, or sleeve.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heat shrink wrap seal shall be so secure that it is visibly apparent when the seal on a growler has been tampered with or a sealed growler has otherwise been reopened.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growler shall not be deemed an open container, subject to the requirements of Iowa Code sections </w:t>
      </w:r>
      <w:hyperlink r:id="rId75">
        <w:r>
          <w:rPr>
            <w:rStyle w:val="Hyperlink"/>
            <w:rFonts w:ascii="Times New Roman" w:hAnsi="Times New Roman"/>
            <w:b w:val="false"/>
            <w:i w:val="false"/>
            <w:color w:val="000000"/>
            <w:sz w:val="22"/>
          </w:rPr>
          <w:t>321.284</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321.284A</w:t>
        </w:r>
      </w:hyperlink>
      <w:r>
        <w:rPr>
          <w:rFonts w:ascii="Times New Roman" w:hAnsi="Times New Roman"/>
          <w:b w:val="false"/>
          <w:i w:val="false"/>
          <w:color w:val="000000"/>
          <w:sz w:val="22"/>
        </w:rPr>
        <w:t>, provided the sealed growler is unopened and the seal has not been tampered with and the contents of the growler have not been partially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shall not be filled in advance of a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shall not be delivered or direct-shipped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shall not be sold or otherwise distributed to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or a licensee’s employees shall not allow a consumer to fill or refill a growler.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filling, refilling, and selling of a growler shall be limited to the hours in which alcoholic beverages may be legally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filled or refilled growler shall not be sold to any consumer who is under legal age,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original container shall only be opened on the premises of a class “B” and class “E” retail alcohol licensee for the limited purposes of filling or refilling a growler as provided in this rule, or for a tasting in accordance with rule </w:t>
      </w:r>
      <w:hyperlink r:id="rId77">
        <w:r>
          <w:rPr>
            <w:rStyle w:val="Hyperlink"/>
            <w:rFonts w:ascii="Times New Roman" w:hAnsi="Times New Roman"/>
            <w:b w:val="false"/>
            <w:i w:val="false"/>
            <w:color w:val="000000"/>
            <w:sz w:val="22"/>
          </w:rPr>
          <w:t>185—16.7</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comply with the requirements and restrictions of this rule shall subject the licensee to the penalty provisions provided in Iowa Code chapter </w:t>
      </w:r>
      <w:hyperlink r:id="rId7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123.31B</w:t>
        </w:r>
      </w:hyperlink>
      <w:r>
        <w:rPr>
          <w:rFonts w:ascii="Times New Roman" w:hAnsi="Times New Roman"/>
          <w:b w:val="false"/>
          <w:i w:val="false"/>
          <w:color w:val="000000"/>
          <w:sz w:val="22"/>
        </w:rPr>
        <w:t xml:space="preserve"> and section 123.31C as enacted by </w:t>
      </w:r>
      <w:r>
        <w:rPr>
          <w:rFonts w:ascii="Times New Roman" w:hAnsi="Times New Roman"/>
          <w:b w:val="false"/>
          <w:i w:val="false"/>
          <w:color w:val="000000"/>
          <w:sz w:val="22"/>
        </w:rPr>
        <w:t>2023 Iowa Acts, House File 677</w:t>
      </w:r>
      <w:r>
        <w:rPr>
          <w:rFonts w:ascii="Times New Roman" w:hAnsi="Times New Roman"/>
          <w:b w:val="false"/>
          <w:i w:val="false"/>
          <w:color w:val="000000"/>
          <w:sz w:val="22"/>
        </w:rPr>
        <w:t>, section 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185—4.12</w:t>
      </w:r>
      <w:r>
        <w:rPr>
          <w:rFonts w:ascii="Times New Roman" w:hAnsi="Times New Roman"/>
          <w:b/>
          <w:i w:val="false"/>
          <w:color w:val="000000"/>
          <w:sz w:val="22"/>
        </w:rPr>
        <w:t xml:space="preserve">(123) </w:t>
      </w:r>
      <w:r>
        <w:rPr>
          <w:rFonts w:ascii="Times New Roman" w:hAnsi="Times New Roman"/>
          <w:b/>
          <w:i w:val="false"/>
          <w:color w:val="000000"/>
          <w:sz w:val="22"/>
        </w:rPr>
        <w:t xml:space="preserve">Display of license, permit, or signs. </w:t>
      </w:r>
      <w:r>
        <w:rPr>
          <w:rFonts w:ascii="Times New Roman" w:hAnsi="Times New Roman"/>
          <w:b w:val="false"/>
          <w:i w:val="false"/>
          <w:color w:val="000000"/>
          <w:sz w:val="22"/>
        </w:rPr>
        <w:t>All licenses, permits or signs issued by the division shall be prominently displayed in full view on the licensed premises.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185—4.13</w:t>
      </w:r>
      <w:r>
        <w:rPr>
          <w:rFonts w:ascii="Times New Roman" w:hAnsi="Times New Roman"/>
          <w:b/>
          <w:i w:val="false"/>
          <w:color w:val="000000"/>
          <w:sz w:val="22"/>
        </w:rPr>
        <w:t xml:space="preserve">(123) </w:t>
      </w:r>
      <w:r>
        <w:rPr>
          <w:rFonts w:ascii="Times New Roman" w:hAnsi="Times New Roman"/>
          <w:b/>
          <w:i w:val="false"/>
          <w:color w:val="000000"/>
          <w:sz w:val="22"/>
        </w:rPr>
        <w:t xml:space="preserve">Outdoor service. </w:t>
      </w:r>
      <w:r>
        <w:rPr>
          <w:rFonts w:ascii="Times New Roman" w:hAnsi="Times New Roman"/>
          <w:b w:val="false"/>
          <w:i w:val="false"/>
          <w:color w:val="000000"/>
          <w:sz w:val="22"/>
        </w:rPr>
        <w:t>Any licensee having an outdoor, contiguous, discernible area on the same property on which their licensed establishment is located may serve the type of alcoholic beverage permitted by the license in the outdoor area. After a licensee satisfies the requirements of this rule, the licensee may serve and sell alcoholic beverages in both the licensee’s indoor licensed establishment and in the licensee’s outdoor area at the same time because an outdoor area is merely an extension of the licensee’s licensed premises and is not a transfer of their license. A licensee, prior to serving in the outdoor area, must file with the division: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new diagram showing the discernible outdoor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Local authority approval of the outdoor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Insurance company acknowledgment that the outdoor area is covered by the dramshop insurance policy.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123.38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185—4.14</w:t>
      </w:r>
      <w:r>
        <w:rPr>
          <w:rFonts w:ascii="Times New Roman" w:hAnsi="Times New Roman"/>
          <w:b/>
          <w:i w:val="false"/>
          <w:color w:val="000000"/>
          <w:sz w:val="22"/>
        </w:rPr>
        <w:t xml:space="preserve">(123) </w:t>
      </w:r>
      <w:r>
        <w:rPr>
          <w:rFonts w:ascii="Times New Roman" w:hAnsi="Times New Roman"/>
          <w:b/>
          <w:i w:val="false"/>
          <w:color w:val="000000"/>
          <w:sz w:val="22"/>
        </w:rPr>
        <w:t xml:space="preserve">Revocation or suspension by local authority. </w:t>
      </w:r>
      <w:r>
        <w:rPr>
          <w:rFonts w:ascii="Times New Roman" w:hAnsi="Times New Roman"/>
          <w:b w:val="false"/>
          <w:i w:val="false"/>
          <w:color w:val="000000"/>
          <w:sz w:val="22"/>
        </w:rPr>
        <w:t>When the local authority revokes or suspends a retail alcohol license, the local authority shall notify the division in written form stating the reasons for the revocation or suspension and in the case of a suspension, the length of time of the suspension.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7">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123.32</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185—4.15</w:t>
      </w:r>
      <w:r>
        <w:rPr>
          <w:rFonts w:ascii="Times New Roman" w:hAnsi="Times New Roman"/>
          <w:b/>
          <w:i w:val="false"/>
          <w:color w:val="000000"/>
          <w:sz w:val="22"/>
        </w:rPr>
        <w:t xml:space="preserve">(123) </w:t>
      </w:r>
      <w:r>
        <w:rPr>
          <w:rFonts w:ascii="Times New Roman" w:hAnsi="Times New Roman"/>
          <w:b/>
          <w:i w:val="false"/>
          <w:color w:val="000000"/>
          <w:sz w:val="22"/>
        </w:rPr>
        <w:t xml:space="preserve">Suspension of retail alcohol license, wine permit, or beer permit. </w:t>
      </w:r>
      <w:r>
        <w:rPr>
          <w:rFonts w:ascii="Times New Roman" w:hAnsi="Times New Roman"/>
          <w:b w:val="false"/>
          <w:i w:val="false"/>
          <w:color w:val="000000"/>
          <w:sz w:val="22"/>
        </w:rPr>
        <w:t>At the time of the suspension of any retail alcohol license, wine permit, or beer permit by the division, there shall be placed, in a conspicuous place in the front door or window of the licensed establishment, a placard furnished by the division showing that the license or permit of that establishment has been suspended by the division and such placard shall also show the number of days and reason for the suspension. No licensee or permittee shall remove, alter, obscure or destroy said placard without the express written approval of the division.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185—4.16</w:t>
      </w:r>
      <w:r>
        <w:rPr>
          <w:rFonts w:ascii="Times New Roman" w:hAnsi="Times New Roman"/>
          <w:b/>
          <w:i w:val="false"/>
          <w:color w:val="000000"/>
          <w:sz w:val="22"/>
        </w:rPr>
        <w:t xml:space="preserve">(123) </w:t>
      </w:r>
      <w:r>
        <w:rPr>
          <w:rFonts w:ascii="Times New Roman" w:hAnsi="Times New Roman"/>
          <w:b/>
          <w:i w:val="false"/>
          <w:color w:val="000000"/>
          <w:sz w:val="22"/>
        </w:rPr>
        <w:t xml:space="preserve">Cancellation of beer permits—refunds.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9/20/23</w:t>
      </w:r>
      <w:r>
        <w:rPr>
          <w:rFonts w:ascii="Times New Roman" w:hAnsi="Times New Roman"/>
          <w:b w:val="false"/>
          <w:i w:val="false"/>
          <w:color w:val="000000"/>
          <w:sz w:val="22"/>
        </w:rPr>
        <w:t xml:space="preserve">, effective 10/25/23. </w:t>
      </w:r>
    </w:p>
    <w:p>
      <w:pPr>
        <w:spacing w:before="0" w:after="0"/>
        <w:ind w:left="120"/>
        <w:jc w:val="both"/>
      </w:pPr>
      <w:r>
        <w:rPr>
          <w:rFonts w:ascii="Times New Roman" w:hAnsi="Times New Roman"/>
          <w:b/>
          <w:i w:val="false"/>
          <w:color w:val="000000"/>
          <w:sz w:val="22"/>
        </w:rPr>
        <w:t>185—4.17</w:t>
      </w:r>
      <w:r>
        <w:rPr>
          <w:rFonts w:ascii="Times New Roman" w:hAnsi="Times New Roman"/>
          <w:b/>
          <w:i w:val="false"/>
          <w:color w:val="000000"/>
          <w:sz w:val="22"/>
        </w:rPr>
        <w:t xml:space="preserve">(123) </w:t>
      </w:r>
      <w:r>
        <w:rPr>
          <w:rFonts w:ascii="Times New Roman" w:hAnsi="Times New Roman"/>
          <w:b/>
          <w:i w:val="false"/>
          <w:color w:val="000000"/>
          <w:sz w:val="22"/>
        </w:rPr>
        <w:t xml:space="preserve">Prohibited storage of alcoholic beverages. </w:t>
      </w:r>
      <w:r>
        <w:rPr>
          <w:rFonts w:ascii="Times New Roman" w:hAnsi="Times New Roman"/>
          <w:b w:val="false"/>
          <w:i w:val="false"/>
          <w:color w:val="000000"/>
          <w:sz w:val="22"/>
        </w:rPr>
        <w:t>No licensee shall permit alcoholic beverages, purchased under authority of a retail alcohol license, to be kept or stored upon any premises other than those licensed. However, under special circumstances, the administrator may authorize the storage of alcoholic beverages on premises other than those covered by the license. The administrator may allow class “D” retail alcohol licensees to store alcoholic liquor and wine in a bonded warehouse to be used for consumption in Iowa, under the authority of a class “D” retail alcohol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2">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123.10(11)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185—4.18</w:t>
      </w:r>
      <w:r>
        <w:rPr>
          <w:rFonts w:ascii="Times New Roman" w:hAnsi="Times New Roman"/>
          <w:b/>
          <w:i w:val="false"/>
          <w:color w:val="000000"/>
          <w:sz w:val="22"/>
        </w:rPr>
        <w:t xml:space="preserve">(123) </w:t>
      </w:r>
      <w:r>
        <w:rPr>
          <w:rFonts w:ascii="Times New Roman" w:hAnsi="Times New Roman"/>
          <w:b/>
          <w:i w:val="false"/>
          <w:color w:val="000000"/>
          <w:sz w:val="22"/>
        </w:rPr>
        <w:t xml:space="preserve">Transfer of license or permit to another location. </w:t>
      </w:r>
      <w:r>
        <w:rPr>
          <w:rFonts w:ascii="Times New Roman" w:hAnsi="Times New Roman"/>
          <w:b w:val="false"/>
          <w:i w:val="false"/>
          <w:color w:val="000000"/>
          <w:sz w:val="22"/>
        </w:rPr>
        <w:t>A licensee or permittee cannot transfer to anyone else the right to use the retail alcohol license, wine permit, or beer permit of the licensee or permittee; the right of transfer is merely an opportunity for a licensee or permittee to use the licensee’s or permittee’s retail alcohol license, wine permit, or beer permit at a different location. A retail alcohol license, wine permit, or a beer permit may only be transferred within the boundaries of the local authority which approved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color w:val="000000"/>
          <w:sz w:val="22"/>
        </w:rPr>
        <w:t xml:space="preserve">Permanent transfers. </w:t>
      </w:r>
      <w:r>
        <w:rPr>
          <w:rFonts w:ascii="Times New Roman" w:hAnsi="Times New Roman"/>
          <w:b w:val="false"/>
          <w:i w:val="false"/>
          <w:color w:val="000000"/>
          <w:sz w:val="22"/>
        </w:rPr>
        <w:t>A person may apply for a permanent transfer. The application must be approved by the local authority and the division prior to the transfer. The insurance company holding the dramshop policy listing the new address must endorse the application prior to the transfer. When the above requirements are met, the division shall issue an amended license or permit showing the new permanent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color w:val="000000"/>
          <w:sz w:val="22"/>
        </w:rPr>
        <w:t xml:space="preserve">Temporary transfers. </w:t>
      </w:r>
      <w:r>
        <w:rPr>
          <w:rFonts w:ascii="Times New Roman" w:hAnsi="Times New Roman"/>
          <w:b w:val="false"/>
          <w:i w:val="false"/>
          <w:color w:val="000000"/>
          <w:sz w:val="22"/>
        </w:rPr>
        <w:t>If the transfer of a retail alcohol license or permit is for the purpose of accommodating a special event or circumstance temporary in nature, the minimum time of transfer is hereby set at 24 hours and transfer time shall not exceed seven days. A person may apply for a temporary transfer. The application must be approved by the local authority and the division. The insurance company holding the dramshop policy must endorse the application prior to the transfer.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4">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123.38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185—4.19</w:t>
      </w:r>
      <w:r>
        <w:rPr>
          <w:rFonts w:ascii="Times New Roman" w:hAnsi="Times New Roman"/>
          <w:b/>
          <w:i w:val="false"/>
          <w:color w:val="000000"/>
          <w:sz w:val="22"/>
        </w:rPr>
        <w:t xml:space="preserve">(123) </w:t>
      </w:r>
      <w:r>
        <w:rPr>
          <w:rFonts w:ascii="Times New Roman" w:hAnsi="Times New Roman"/>
          <w:b/>
          <w:i w:val="false"/>
          <w:color w:val="000000"/>
          <w:sz w:val="22"/>
        </w:rPr>
        <w:t xml:space="preserve">Execution and levy on alcoholic liquor, wine, and beer. </w:t>
      </w:r>
      <w:r>
        <w:rPr>
          <w:rFonts w:ascii="Times New Roman" w:hAnsi="Times New Roman"/>
          <w:b w:val="false"/>
          <w:i w:val="false"/>
          <w:color w:val="000000"/>
          <w:sz w:val="22"/>
        </w:rPr>
        <w:t xml:space="preserve">Judgments or orders requiring the payment of money or the delivery of the possession of property may be enforced against retail alcohol licensees, beer permittees, and wine permittees by execution pursuant to the provisions of Iowa Code chapter </w:t>
      </w:r>
      <w:hyperlink r:id="rId96">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val="false"/>
          <w:color w:val="000000"/>
          <w:sz w:val="22"/>
        </w:rPr>
        <w:t xml:space="preserve">A secured party as defined in Iowa Code section </w:t>
      </w:r>
      <w:hyperlink r:id="rId97">
        <w:r>
          <w:rPr>
            <w:rStyle w:val="Hyperlink"/>
            <w:rFonts w:ascii="Times New Roman" w:hAnsi="Times New Roman"/>
            <w:b w:val="false"/>
            <w:i w:val="false"/>
            <w:color w:val="000000"/>
            <w:sz w:val="22"/>
          </w:rPr>
          <w:t>554.9102(1)</w:t>
        </w:r>
      </w:hyperlink>
      <w:r>
        <w:rPr>
          <w:rFonts w:ascii="Times New Roman" w:hAnsi="Times New Roman"/>
          <w:b w:val="false"/>
          <w:i/>
          <w:color w:val="000000"/>
          <w:sz w:val="22"/>
        </w:rPr>
        <w:t>“by”</w:t>
      </w:r>
      <w:r>
        <w:rPr>
          <w:rFonts w:ascii="Times New Roman" w:hAnsi="Times New Roman"/>
          <w:b w:val="false"/>
          <w:i w:val="false"/>
          <w:color w:val="000000"/>
          <w:sz w:val="22"/>
        </w:rPr>
        <w:t xml:space="preserve"> may take possession of and dispose of a retail alcohol licensee’s or permittee’s alcoholic liquor, wine, and beer in which the secured party has a security interest in such collateral pursuant to the provisions of Iowa Code chapter </w:t>
      </w:r>
      <w:hyperlink r:id="rId98">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xml:space="preserve">. The secured party may operate under the retail alcohol license or permit of its debtor as defined in Iowa Code section </w:t>
      </w:r>
      <w:hyperlink r:id="rId99">
        <w:r>
          <w:rPr>
            <w:rStyle w:val="Hyperlink"/>
            <w:rFonts w:ascii="Times New Roman" w:hAnsi="Times New Roman"/>
            <w:b w:val="false"/>
            <w:i w:val="false"/>
            <w:color w:val="000000"/>
            <w:sz w:val="22"/>
          </w:rPr>
          <w:t>554.9102(1)</w:t>
        </w:r>
      </w:hyperlink>
      <w:r>
        <w:rPr>
          <w:rFonts w:ascii="Times New Roman" w:hAnsi="Times New Roman"/>
          <w:b w:val="false"/>
          <w:i/>
          <w:color w:val="000000"/>
          <w:sz w:val="22"/>
        </w:rPr>
        <w:t>“ad”</w:t>
      </w:r>
      <w:r>
        <w:rPr>
          <w:rFonts w:ascii="Times New Roman" w:hAnsi="Times New Roman"/>
          <w:b w:val="false"/>
          <w:i w:val="false"/>
          <w:color w:val="000000"/>
          <w:sz w:val="22"/>
        </w:rPr>
        <w:t xml:space="preserve"> for the purpose of disposing of the alcoholic liquor, wine, and beer. However, if the debtor is a class “E” retail alcohol licensee, the secured party may not purchase alcoholic liquor from the division to continue to operate its debtor’s business. A secured party operating under the retail alcohol license or permit of its debtor shall dispose of the alcoholic liquor, wine, and beer by sale only to persons authorized under Iowa Code chapter </w:t>
      </w:r>
      <w:hyperlink r:id="rId100">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to purchase alcoholic liquor, wine, and beer from the debtor. When a secured party takes possession of a retail alcohol licensee’s or permittee’s alcoholic liquor, wine, and beer, the secured party shall notify the division in writing of such action. A secured party shall further inform the division of the manner in which it intends to dispose of the alcoholic liquor, wine, and beer and shall state the reasonable length of time in which it intends to operate under the retail alcohol license or permit of its debtor. The secured party shall notify the division in writing when the disposition of its collateral has been completed, and the secured party shall cease operating under the retail alcohol license or permit of its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val="false"/>
          <w:color w:val="000000"/>
          <w:sz w:val="22"/>
        </w:rPr>
        <w:t xml:space="preserve">A sheriff or other officer acting pursuant to Iowa Code chapter </w:t>
      </w:r>
      <w:hyperlink r:id="rId101">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 xml:space="preserve"> may take possession of a retail alcohol licensee’s or permittee’s alcoholic liquor, wine, and beer and may dispose of such inventory according to the provisions of Iowa Code chapter </w:t>
      </w:r>
      <w:hyperlink r:id="rId102">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 xml:space="preserve">; however, the sheriff or other officer must sell the alcoholic liquor, wine and beer only to those persons authorized by Iowa Code chapter </w:t>
      </w:r>
      <w:hyperlink r:id="rId103">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to purchase alcoholic liquor, wine, and beer from the retail alcohol licensee or permittee whose inventory is subject to the execution and levy. The sheriff or other officer shall notify the division in writing at the time the sheriff or officer takes possession of a retail alcohol licensee’s or permittee’s alcoholic liquor, wine, and beer and shall further notify the division of the time and place of the sale of such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123.38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185—4.20</w:t>
      </w:r>
      <w:r>
        <w:rPr>
          <w:rFonts w:ascii="Times New Roman" w:hAnsi="Times New Roman"/>
          <w:b/>
          <w:i w:val="false"/>
          <w:color w:val="000000"/>
          <w:sz w:val="22"/>
        </w:rPr>
        <w:t xml:space="preserve">(123) </w:t>
      </w:r>
      <w:r>
        <w:rPr>
          <w:rFonts w:ascii="Times New Roman" w:hAnsi="Times New Roman"/>
          <w:b/>
          <w:i w:val="false"/>
          <w:color w:val="000000"/>
          <w:sz w:val="22"/>
        </w:rPr>
        <w:t xml:space="preserve">Class “E” retail alcohol licensee methods of payment accepted. </w:t>
      </w:r>
      <w:r>
        <w:rPr>
          <w:rFonts w:ascii="Times New Roman" w:hAnsi="Times New Roman"/>
          <w:b w:val="false"/>
          <w:i w:val="false"/>
          <w:color w:val="000000"/>
          <w:sz w:val="22"/>
        </w:rPr>
        <w:t>The division may accept personal or business checks from a class “E” retail alcohol licensee made payable to the division for the amount of the purchase which has been certified by the bank on which the check is drawn. Bank drafts, signed by the licensee,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4.20(1)</w:t>
      </w:r>
      <w:r>
        <w:rPr>
          <w:rFonts w:ascii="Times New Roman" w:hAnsi="Times New Roman"/>
          <w:b w:val="false"/>
          <w:i w:val="false"/>
          <w:color w:val="000000"/>
          <w:sz w:val="22"/>
        </w:rPr>
        <w:t> </w:t>
      </w:r>
      <w:r>
        <w:rPr>
          <w:rFonts w:ascii="Times New Roman" w:hAnsi="Times New Roman"/>
          <w:b w:val="false"/>
          <w:i w:val="false"/>
          <w:color w:val="000000"/>
          <w:sz w:val="22"/>
        </w:rPr>
        <w:t>A retail alcohol licensed establishment which tenders the division one insufficient funds bank draft for the purchase of alcoholic liquor will lose its bank draft privilege for 90 days from the date the establishment pays the division even though the division does not suspend the liquor license because the establishment paid the division within the 10-day demand period. A retail alcohol licensed establishment which tenders the division more than one insufficient funds bank draft for the purchase of alcoholic liquor will lose its bank draft privilege for 180 days from the date the establishment pays the division even though the division does not suspend the liquor license because the establishment paid the division within the 10-day demand period.</w:t>
      </w:r>
    </w:p>
    <w:p>
      <w:pPr>
        <w:spacing w:before="0" w:after="0"/>
        <w:ind w:left="120"/>
        <w:jc w:val="both"/>
      </w:pPr>
      <w:r>
        <w:rPr>
          <w:rFonts w:ascii="Times New Roman" w:hAnsi="Times New Roman"/>
          <w:b w:val="false"/>
          <w:i w:val="false"/>
          <w:color w:val="000000"/>
          <w:sz w:val="22"/>
        </w:rPr>
        <w:t>During the period that a licensee may not tender bank drafts to the division in payment for alcoholic liquor, the division may accept from the licensee a money order payable to the division for the amount of the purchase, a bank cashier’s check signed by a bank official and made payable to the division for the amount of the purchase, or the licensee’s personal or business check made payable to the division for the amount of the purchase which has been certified by the bank on which the check is 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4.20(2)</w:t>
      </w:r>
      <w:r>
        <w:rPr>
          <w:rFonts w:ascii="Times New Roman" w:hAnsi="Times New Roman"/>
          <w:b w:val="false"/>
          <w:i w:val="false"/>
          <w:color w:val="000000"/>
          <w:sz w:val="22"/>
        </w:rPr>
        <w:t> </w:t>
      </w:r>
      <w:r>
        <w:rPr>
          <w:rFonts w:ascii="Times New Roman" w:hAnsi="Times New Roman"/>
          <w:b w:val="false"/>
          <w:i w:val="false"/>
          <w:color w:val="000000"/>
          <w:sz w:val="22"/>
        </w:rPr>
        <w:t>The division may collect from the licensee a $10 fee for each dishonored bank draft tendered to the division by a licensee for the purchase of alcoholic beverages.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4.20(3)</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at the discretion of the administrator, that a licensee submit a letter of credit in a reasonable amount to be determined by the administrator for future purchases of alcoholic liquor from the division, when a licensee tenders to the division a bank draft which is subsequently dishonored by the bank if the licensee fails to satisfy the obligation within ten days after service of notice of nonpayment and penalty.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7">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123.24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185—4.21</w:t>
      </w:r>
      <w:r>
        <w:rPr>
          <w:rFonts w:ascii="Times New Roman" w:hAnsi="Times New Roman"/>
          <w:b/>
          <w:i w:val="false"/>
          <w:color w:val="000000"/>
          <w:sz w:val="22"/>
        </w:rPr>
        <w:t xml:space="preserve">(123) </w:t>
      </w:r>
      <w:r>
        <w:rPr>
          <w:rFonts w:ascii="Times New Roman" w:hAnsi="Times New Roman"/>
          <w:b/>
          <w:i w:val="false"/>
          <w:color w:val="000000"/>
          <w:sz w:val="22"/>
        </w:rPr>
        <w:t xml:space="preserve">Where retailers must purchase wine.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9/20/23</w:t>
      </w:r>
      <w:r>
        <w:rPr>
          <w:rFonts w:ascii="Times New Roman" w:hAnsi="Times New Roman"/>
          <w:b w:val="false"/>
          <w:i w:val="false"/>
          <w:color w:val="000000"/>
          <w:sz w:val="22"/>
        </w:rPr>
        <w:t xml:space="preserve">, effective 10/25/23. </w:t>
      </w:r>
    </w:p>
    <w:p>
      <w:pPr>
        <w:spacing w:before="210" w:after="0"/>
        <w:ind w:left="120"/>
        <w:jc w:val="both"/>
      </w:pPr>
      <w:r>
        <w:rPr>
          <w:rFonts w:ascii="Times New Roman" w:hAnsi="Times New Roman"/>
          <w:b/>
          <w:i w:val="false"/>
          <w:color w:val="000000"/>
          <w:sz w:val="22"/>
        </w:rPr>
        <w:t>185—4.22</w:t>
      </w:r>
      <w:r>
        <w:rPr>
          <w:rFonts w:ascii="Times New Roman" w:hAnsi="Times New Roman"/>
          <w:b/>
          <w:i w:val="false"/>
          <w:color w:val="000000"/>
          <w:sz w:val="22"/>
        </w:rPr>
        <w:t xml:space="preserve">(123) </w:t>
      </w:r>
      <w:r>
        <w:rPr>
          <w:rFonts w:ascii="Times New Roman" w:hAnsi="Times New Roman"/>
          <w:b/>
          <w:i w:val="false"/>
          <w:color w:val="000000"/>
          <w:sz w:val="22"/>
        </w:rPr>
        <w:t xml:space="preserve">Liquor on licensed premises.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9/20/23</w:t>
      </w:r>
      <w:r>
        <w:rPr>
          <w:rFonts w:ascii="Times New Roman" w:hAnsi="Times New Roman"/>
          <w:b w:val="false"/>
          <w:i w:val="false"/>
          <w:color w:val="000000"/>
          <w:sz w:val="22"/>
        </w:rPr>
        <w:t xml:space="preserve">, effective 10/25/23. </w:t>
      </w:r>
    </w:p>
    <w:p>
      <w:pPr>
        <w:spacing w:before="0" w:after="0"/>
        <w:ind w:left="120"/>
        <w:jc w:val="both"/>
      </w:pPr>
      <w:r>
        <w:rPr>
          <w:rFonts w:ascii="Times New Roman" w:hAnsi="Times New Roman"/>
          <w:b/>
          <w:i w:val="false"/>
          <w:color w:val="000000"/>
          <w:sz w:val="22"/>
        </w:rPr>
        <w:t>185—4.23</w:t>
      </w:r>
      <w:r>
        <w:rPr>
          <w:rFonts w:ascii="Times New Roman" w:hAnsi="Times New Roman"/>
          <w:b/>
          <w:i w:val="false"/>
          <w:color w:val="000000"/>
          <w:sz w:val="22"/>
        </w:rPr>
        <w:t xml:space="preserve">(123) </w:t>
      </w:r>
      <w:r>
        <w:rPr>
          <w:rFonts w:ascii="Times New Roman" w:hAnsi="Times New Roman"/>
          <w:b/>
          <w:i w:val="false"/>
          <w:color w:val="000000"/>
          <w:sz w:val="22"/>
        </w:rPr>
        <w:t xml:space="preserve">Liquor on unlicensed places. </w:t>
      </w:r>
      <w:r>
        <w:rPr>
          <w:rFonts w:ascii="Times New Roman" w:hAnsi="Times New Roman"/>
          <w:b w:val="false"/>
          <w:i w:val="false"/>
          <w:color w:val="000000"/>
          <w:sz w:val="22"/>
        </w:rPr>
        <w:t>Liquor may be kept and consumed but not sold on unlicensed places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val="false"/>
          <w:color w:val="000000"/>
          <w:sz w:val="22"/>
        </w:rPr>
        <w:t>Liquor may be kept and consumed in a private home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val="false"/>
          <w:color w:val="000000"/>
          <w:sz w:val="22"/>
        </w:rPr>
        <w:t>Liquor may be kept and consumed, by the guests or residents, in the residential or sleeping quarters of a hotel or motel at any time. This is considered as an extension of the private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val="false"/>
          <w:color w:val="000000"/>
          <w:sz w:val="22"/>
        </w:rPr>
        <w:t>Liquor may be consumed at a private social gathering in a private place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val="false"/>
          <w:color w:val="000000"/>
          <w:sz w:val="22"/>
        </w:rPr>
        <w:t>A private place is a location which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to which the general public does not have access at the time the liquor is kept, dispensed or consumed; one at which the attendees are limited to the bona fide social hosts and invited guests.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which is not of a commercial nature at the time the liquor is consumed or dispensed at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where goods or services are neither sold nor purchased at the time the liquor is consumed or dispensed at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where the use of the location was obtained without charges or rent or any other thing of value was exchanged for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which is not a licensed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One where no admission fees or other kinds of entrance fees, fare, ticket, donation or charges are made or are required of the invited guests to enter the location.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9">
        <w:r>
          <w:rPr>
            <w:rStyle w:val="Hyperlink"/>
            <w:rFonts w:ascii="Times New Roman" w:hAnsi="Times New Roman"/>
            <w:b w:val="false"/>
            <w:i w:val="false"/>
            <w:color w:val="000000"/>
            <w:sz w:val="22"/>
          </w:rPr>
          <w:t>123.95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185—4.24</w:t>
      </w:r>
      <w:r>
        <w:rPr>
          <w:rFonts w:ascii="Times New Roman" w:hAnsi="Times New Roman"/>
          <w:b/>
          <w:i w:val="false"/>
          <w:color w:val="000000"/>
          <w:sz w:val="22"/>
        </w:rPr>
        <w:t xml:space="preserve">(123) </w:t>
      </w:r>
      <w:r>
        <w:rPr>
          <w:rFonts w:ascii="Times New Roman" w:hAnsi="Times New Roman"/>
          <w:b/>
          <w:i w:val="false"/>
          <w:color w:val="000000"/>
          <w:sz w:val="22"/>
        </w:rPr>
        <w:t xml:space="preserve">Alcoholic liquor and wine on beer permit premises.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3928C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8/1/18</w:t>
      </w:r>
      <w:r>
        <w:rPr>
          <w:rFonts w:ascii="Times New Roman" w:hAnsi="Times New Roman"/>
          <w:b w:val="false"/>
          <w:i w:val="false"/>
          <w:color w:val="000000"/>
          <w:sz w:val="22"/>
        </w:rPr>
        <w:t xml:space="preserve">, effective 9/5/18. </w:t>
      </w:r>
    </w:p>
    <w:p>
      <w:pPr>
        <w:spacing w:before="0" w:after="0"/>
        <w:ind w:left="120"/>
        <w:jc w:val="both"/>
      </w:pPr>
      <w:r>
        <w:rPr>
          <w:rFonts w:ascii="Times New Roman" w:hAnsi="Times New Roman"/>
          <w:b/>
          <w:i w:val="false"/>
          <w:color w:val="000000"/>
          <w:sz w:val="22"/>
        </w:rPr>
        <w:t>185—4.25</w:t>
      </w:r>
      <w:r>
        <w:rPr>
          <w:rFonts w:ascii="Times New Roman" w:hAnsi="Times New Roman"/>
          <w:b/>
          <w:i w:val="false"/>
          <w:color w:val="000000"/>
          <w:sz w:val="22"/>
        </w:rPr>
        <w:t xml:space="preserve">(123) </w:t>
      </w:r>
      <w:r>
        <w:rPr>
          <w:rFonts w:ascii="Times New Roman" w:hAnsi="Times New Roman"/>
          <w:b/>
          <w:i w:val="false"/>
          <w:color w:val="000000"/>
          <w:sz w:val="22"/>
        </w:rPr>
        <w:t xml:space="preserve">Age requirements. </w:t>
      </w:r>
      <w:r>
        <w:rPr>
          <w:rFonts w:ascii="Times New Roman" w:hAnsi="Times New Roman"/>
          <w:b w:val="false"/>
          <w:i w:val="false"/>
          <w:color w:val="000000"/>
          <w:sz w:val="22"/>
        </w:rPr>
        <w:t xml:space="preserve">Persons 21 years of age or older may hold a retail alcohol license, wine permit, or beer permit. Persons 16 years of age and older may sell alcoholic beverages in off-premises establishments.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0">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185—4.26</w:t>
      </w:r>
      <w:r>
        <w:rPr>
          <w:rFonts w:ascii="Times New Roman" w:hAnsi="Times New Roman"/>
          <w:b/>
          <w:i w:val="false"/>
          <w:color w:val="000000"/>
          <w:sz w:val="22"/>
        </w:rPr>
        <w:t xml:space="preserve">(123) </w:t>
      </w:r>
      <w:r>
        <w:rPr>
          <w:rFonts w:ascii="Times New Roman" w:hAnsi="Times New Roman"/>
          <w:b/>
          <w:i w:val="false"/>
          <w:color w:val="000000"/>
          <w:sz w:val="22"/>
        </w:rPr>
        <w:t xml:space="preserve">Timely filed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which may be imposed by a local authority upon the holder of a retail alcohol license to obtain timely filed status of a renewal application, the division may grant timely filed status if the applicant complies with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completed application with the local authority or the division as required by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current dramshop liability certificate has been endorsed by the insurance company if proof of dramshop liability is required as a condition precedent to the issuance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pays the appropriate license fee in full to the local authority or the division as required by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bond has been certified by the carrier if a bond is required as a condition precedent to the issuance of the license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val="false"/>
          <w:color w:val="000000"/>
          <w:sz w:val="22"/>
        </w:rPr>
        <w:t>Timely filed status allows the holder of the license to continue to operate under a license after its expiration and until the local authority and the division have finally determined whether the license should be issued. If the application for the license is denied, timely filed status continues until the last day for seeking judicial review of the division’s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val="false"/>
          <w:color w:val="000000"/>
          <w:sz w:val="22"/>
        </w:rPr>
        <w:t>An applicant for a new retail alcohol license may not sell alcoholic liquor, wine or beer in the proposed establishment until a license has been granted by the division.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123.32</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185—4.27</w:t>
      </w:r>
      <w:r>
        <w:rPr>
          <w:rFonts w:ascii="Times New Roman" w:hAnsi="Times New Roman"/>
          <w:b/>
          <w:i w:val="false"/>
          <w:color w:val="000000"/>
          <w:sz w:val="22"/>
        </w:rPr>
        <w:t xml:space="preserve">(123) </w:t>
      </w:r>
      <w:r>
        <w:rPr>
          <w:rFonts w:ascii="Times New Roman" w:hAnsi="Times New Roman"/>
          <w:b/>
          <w:i w:val="false"/>
          <w:color w:val="000000"/>
          <w:sz w:val="22"/>
        </w:rPr>
        <w:t xml:space="preserve">Effect of suspension. </w:t>
      </w:r>
      <w:r>
        <w:rPr>
          <w:rFonts w:ascii="Times New Roman" w:hAnsi="Times New Roman"/>
          <w:b w:val="false"/>
          <w:i w:val="false"/>
          <w:color w:val="000000"/>
          <w:sz w:val="22"/>
        </w:rPr>
        <w:t xml:space="preserve">Subject to the right to convey a suspended establishment under Iowa Code section </w:t>
      </w:r>
      <w:hyperlink r:id="rId115">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 no beer, wine, or liquor can be sold or consumed in an establishment during a suspension period. An establishment may be open during a suspension period to conduct lawful business other than the sale of liquor, wine, and beer as long as no liquor, wine, or beer is sold or consumed during the suspension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6">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185—4.28</w:t>
      </w:r>
      <w:r>
        <w:rPr>
          <w:rFonts w:ascii="Times New Roman" w:hAnsi="Times New Roman"/>
          <w:b/>
          <w:i w:val="false"/>
          <w:color w:val="000000"/>
          <w:sz w:val="22"/>
        </w:rPr>
        <w:t xml:space="preserve">(123) </w:t>
      </w:r>
      <w:r>
        <w:rPr>
          <w:rFonts w:ascii="Times New Roman" w:hAnsi="Times New Roman"/>
          <w:b/>
          <w:i w:val="false"/>
          <w:color w:val="000000"/>
          <w:sz w:val="22"/>
        </w:rPr>
        <w:t xml:space="preserve">Use of establishment during hours alcoholic beverages cannot be consumed. </w:t>
      </w:r>
      <w:r>
        <w:rPr>
          <w:rFonts w:ascii="Times New Roman" w:hAnsi="Times New Roman"/>
          <w:b w:val="false"/>
          <w:i w:val="false"/>
          <w:color w:val="000000"/>
          <w:sz w:val="22"/>
        </w:rPr>
        <w:t>No one, including a retail alcohol licensee and the licensee’s employees, can consume alcoholic beverages in their licensed establishment during hours which alcoholic beverages cannot be sold. An establishment covered by a retail alcohol license can be used as a restaurant or any other lawful purpose during hours which alcoholic beverages cannot be sold as long as alcoholic beverages are not consumed during these hours.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7">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185—4.29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185—4.30</w:t>
      </w:r>
      <w:r>
        <w:rPr>
          <w:rFonts w:ascii="Times New Roman" w:hAnsi="Times New Roman"/>
          <w:b/>
          <w:i w:val="false"/>
          <w:color w:val="000000"/>
          <w:sz w:val="22"/>
        </w:rPr>
        <w:t xml:space="preserve">(123) </w:t>
      </w:r>
      <w:r>
        <w:rPr>
          <w:rFonts w:ascii="Times New Roman" w:hAnsi="Times New Roman"/>
          <w:b/>
          <w:i w:val="false"/>
          <w:color w:val="000000"/>
          <w:sz w:val="22"/>
        </w:rPr>
        <w:t xml:space="preserve">Persons producing fuel alcohol. </w:t>
      </w:r>
      <w:r>
        <w:rPr>
          <w:rFonts w:ascii="Times New Roman" w:hAnsi="Times New Roman"/>
          <w:b w:val="false"/>
          <w:i w:val="false"/>
          <w:color w:val="000000"/>
          <w:sz w:val="22"/>
        </w:rPr>
        <w:t>Persons producing fuel alcohol for their own use or to be sold commercially do not have to obtain a license or permit from the division.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8">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123.41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185—4.31</w:t>
      </w:r>
      <w:r>
        <w:rPr>
          <w:rFonts w:ascii="Times New Roman" w:hAnsi="Times New Roman"/>
          <w:b/>
          <w:i w:val="false"/>
          <w:color w:val="000000"/>
          <w:sz w:val="22"/>
        </w:rPr>
        <w:t xml:space="preserve">(123) </w:t>
      </w:r>
      <w:r>
        <w:rPr>
          <w:rFonts w:ascii="Times New Roman" w:hAnsi="Times New Roman"/>
          <w:b/>
          <w:i w:val="false"/>
          <w:color w:val="000000"/>
          <w:sz w:val="22"/>
        </w:rPr>
        <w:t xml:space="preserve">Storage of beer.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9/20/23</w:t>
      </w:r>
      <w:r>
        <w:rPr>
          <w:rFonts w:ascii="Times New Roman" w:hAnsi="Times New Roman"/>
          <w:b w:val="false"/>
          <w:i w:val="false"/>
          <w:color w:val="000000"/>
          <w:sz w:val="22"/>
        </w:rPr>
        <w:t xml:space="preserve">, effective 10/25/23. </w:t>
      </w:r>
    </w:p>
    <w:p>
      <w:pPr>
        <w:spacing w:before="0" w:after="0"/>
        <w:ind w:left="120"/>
        <w:jc w:val="both"/>
      </w:pPr>
      <w:r>
        <w:rPr>
          <w:rFonts w:ascii="Times New Roman" w:hAnsi="Times New Roman"/>
          <w:b/>
          <w:i w:val="false"/>
          <w:color w:val="000000"/>
          <w:sz w:val="22"/>
        </w:rPr>
        <w:t>185—4.32</w:t>
      </w:r>
      <w:r>
        <w:rPr>
          <w:rFonts w:ascii="Times New Roman" w:hAnsi="Times New Roman"/>
          <w:b/>
          <w:i w:val="false"/>
          <w:color w:val="000000"/>
          <w:sz w:val="22"/>
        </w:rPr>
        <w:t xml:space="preserve">(123) </w:t>
      </w:r>
      <w:r>
        <w:rPr>
          <w:rFonts w:ascii="Times New Roman" w:hAnsi="Times New Roman"/>
          <w:b/>
          <w:i w:val="false"/>
          <w:color w:val="000000"/>
          <w:sz w:val="22"/>
        </w:rPr>
        <w:t xml:space="preserve">Delivery of alcoholic liquor. </w:t>
      </w:r>
      <w:r>
        <w:rPr>
          <w:rFonts w:ascii="Times New Roman" w:hAnsi="Times New Roman"/>
          <w:b w:val="false"/>
          <w:i w:val="false"/>
          <w:color w:val="000000"/>
          <w:sz w:val="22"/>
        </w:rPr>
        <w:t>Individuals who do not work for the division may operate a delivery service in which they will charge licensees a fee for picking up their alcoholic liquor orders at the division’s liquor stores and delivering it to their establishments.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0">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123.21(10)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185—4.33</w:t>
      </w:r>
      <w:r>
        <w:rPr>
          <w:rFonts w:ascii="Times New Roman" w:hAnsi="Times New Roman"/>
          <w:b/>
          <w:i w:val="false"/>
          <w:color w:val="000000"/>
          <w:sz w:val="22"/>
        </w:rPr>
        <w:t xml:space="preserve">(123) </w:t>
      </w:r>
      <w:r>
        <w:rPr>
          <w:rFonts w:ascii="Times New Roman" w:hAnsi="Times New Roman"/>
          <w:b/>
          <w:i w:val="false"/>
          <w:color w:val="000000"/>
          <w:sz w:val="22"/>
        </w:rPr>
        <w:t xml:space="preserve">Delivery of beer and wine.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9/20/23</w:t>
      </w:r>
      <w:r>
        <w:rPr>
          <w:rFonts w:ascii="Times New Roman" w:hAnsi="Times New Roman"/>
          <w:b w:val="false"/>
          <w:i w:val="false"/>
          <w:color w:val="000000"/>
          <w:sz w:val="22"/>
        </w:rPr>
        <w:t xml:space="preserve">, effective 10/25/23. </w:t>
      </w:r>
    </w:p>
    <w:p>
      <w:pPr>
        <w:spacing w:before="0" w:after="0"/>
        <w:ind w:left="120"/>
        <w:jc w:val="both"/>
      </w:pPr>
      <w:r>
        <w:rPr>
          <w:rFonts w:ascii="Times New Roman" w:hAnsi="Times New Roman"/>
          <w:b/>
          <w:i w:val="false"/>
          <w:color w:val="000000"/>
          <w:sz w:val="22"/>
        </w:rPr>
        <w:t>185—4.34</w:t>
      </w:r>
      <w:r>
        <w:rPr>
          <w:rFonts w:ascii="Times New Roman" w:hAnsi="Times New Roman"/>
          <w:b/>
          <w:i w:val="false"/>
          <w:color w:val="000000"/>
          <w:sz w:val="22"/>
        </w:rPr>
        <w:t xml:space="preserve">(123) </w:t>
      </w:r>
      <w:r>
        <w:rPr>
          <w:rFonts w:ascii="Times New Roman" w:hAnsi="Times New Roman"/>
          <w:b/>
          <w:i w:val="false"/>
          <w:color w:val="000000"/>
          <w:sz w:val="22"/>
        </w:rPr>
        <w:t xml:space="preserve">Determination of population. </w:t>
      </w:r>
      <w:r>
        <w:rPr>
          <w:rFonts w:ascii="Times New Roman" w:hAnsi="Times New Roman"/>
          <w:b w:val="false"/>
          <w:i w:val="false"/>
          <w:color w:val="000000"/>
          <w:sz w:val="22"/>
        </w:rPr>
        <w:t>Decennial Censuses and Special Censuses done by the U.S. Census Bureau are recognized as being the official population of a town for the purpose of deciding the price of licenses in that town, but estimates done by the U.S. Census Bureau cannot be viewed as being the official population when deciding the price of licenses.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123.10(11)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185—4.35</w:t>
      </w:r>
      <w:r>
        <w:rPr>
          <w:rFonts w:ascii="Times New Roman" w:hAnsi="Times New Roman"/>
          <w:b/>
          <w:i w:val="false"/>
          <w:color w:val="000000"/>
          <w:sz w:val="22"/>
        </w:rPr>
        <w:t xml:space="preserve">(123) </w:t>
      </w:r>
      <w:r>
        <w:rPr>
          <w:rFonts w:ascii="Times New Roman" w:hAnsi="Times New Roman"/>
          <w:b/>
          <w:i w:val="false"/>
          <w:color w:val="000000"/>
          <w:sz w:val="22"/>
        </w:rPr>
        <w:t xml:space="preserve">Minors in licensed establishments. </w:t>
      </w:r>
      <w:r>
        <w:rPr>
          <w:rFonts w:ascii="Times New Roman" w:hAnsi="Times New Roman"/>
          <w:b w:val="false"/>
          <w:i w:val="false"/>
          <w:color w:val="000000"/>
          <w:sz w:val="22"/>
        </w:rPr>
        <w:t>Because Iowa law does not prohibit minors from being in licensed establishments, a minor can be in a licensed establishment if local authority does not have a local ordinance prohibiting minors from being in licensed establishments in its jurisdiction.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3">
        <w:r>
          <w:rPr>
            <w:rStyle w:val="Hyperlink"/>
            <w:rFonts w:ascii="Times New Roman" w:hAnsi="Times New Roman"/>
            <w:b w:val="false"/>
            <w:i w:val="false"/>
            <w:color w:val="000000"/>
            <w:sz w:val="22"/>
          </w:rPr>
          <w:t>123.21(5)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185—4.36</w:t>
      </w:r>
      <w:r>
        <w:rPr>
          <w:rFonts w:ascii="Times New Roman" w:hAnsi="Times New Roman"/>
          <w:b/>
          <w:i w:val="false"/>
          <w:color w:val="000000"/>
          <w:sz w:val="22"/>
        </w:rPr>
        <w:t xml:space="preserve">(123) </w:t>
      </w:r>
      <w:r>
        <w:rPr>
          <w:rFonts w:ascii="Times New Roman" w:hAnsi="Times New Roman"/>
          <w:b/>
          <w:i w:val="false"/>
          <w:color w:val="000000"/>
          <w:sz w:val="22"/>
        </w:rPr>
        <w:t xml:space="preserve">Sale of alcoholic beverages stock when licensee sells business. </w:t>
      </w:r>
      <w:r>
        <w:rPr>
          <w:rFonts w:ascii="Times New Roman" w:hAnsi="Times New Roman"/>
          <w:b w:val="false"/>
          <w:i w:val="false"/>
          <w:color w:val="000000"/>
          <w:sz w:val="22"/>
        </w:rPr>
        <w:t>When a retail alcohol licensee goes out of business, the licensee may sell the licensee’s stock of alcoholic beverages to the person who is going to operate a licensed establishment in the same location.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4">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185—4.37</w:t>
      </w:r>
      <w:r>
        <w:rPr>
          <w:rFonts w:ascii="Times New Roman" w:hAnsi="Times New Roman"/>
          <w:b/>
          <w:i w:val="false"/>
          <w:color w:val="000000"/>
          <w:sz w:val="22"/>
        </w:rPr>
        <w:t xml:space="preserve">(123) </w:t>
      </w:r>
      <w:r>
        <w:rPr>
          <w:rFonts w:ascii="Times New Roman" w:hAnsi="Times New Roman"/>
          <w:b/>
          <w:i w:val="false"/>
          <w:color w:val="000000"/>
          <w:sz w:val="22"/>
        </w:rPr>
        <w:t xml:space="preserve">Business as usual on election days.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9/20/23</w:t>
      </w:r>
      <w:r>
        <w:rPr>
          <w:rFonts w:ascii="Times New Roman" w:hAnsi="Times New Roman"/>
          <w:b w:val="false"/>
          <w:i w:val="false"/>
          <w:color w:val="000000"/>
          <w:sz w:val="22"/>
        </w:rPr>
        <w:t xml:space="preserve">, effective 10/25/23. </w:t>
      </w:r>
    </w:p>
    <w:p>
      <w:pPr>
        <w:spacing w:before="210" w:after="0"/>
        <w:ind w:left="120"/>
        <w:jc w:val="both"/>
      </w:pPr>
      <w:r>
        <w:rPr>
          <w:rFonts w:ascii="Times New Roman" w:hAnsi="Times New Roman"/>
          <w:b/>
          <w:i w:val="false"/>
          <w:color w:val="000000"/>
          <w:sz w:val="22"/>
        </w:rPr>
        <w:t>185—4.38</w:t>
      </w:r>
      <w:r>
        <w:rPr>
          <w:rFonts w:ascii="Times New Roman" w:hAnsi="Times New Roman"/>
          <w:b/>
          <w:i w:val="false"/>
          <w:color w:val="000000"/>
          <w:sz w:val="22"/>
        </w:rPr>
        <w:t xml:space="preserve">(123) </w:t>
      </w:r>
      <w:r>
        <w:rPr>
          <w:rFonts w:ascii="Times New Roman" w:hAnsi="Times New Roman"/>
          <w:b/>
          <w:i w:val="false"/>
          <w:color w:val="000000"/>
          <w:sz w:val="22"/>
        </w:rPr>
        <w:t xml:space="preserve">Sunday sale of wine.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9/20/23</w:t>
      </w:r>
      <w:r>
        <w:rPr>
          <w:rFonts w:ascii="Times New Roman" w:hAnsi="Times New Roman"/>
          <w:b w:val="false"/>
          <w:i w:val="false"/>
          <w:color w:val="000000"/>
          <w:sz w:val="22"/>
        </w:rPr>
        <w:t xml:space="preserve">, effective 10/25/23. </w:t>
      </w:r>
    </w:p>
    <w:p>
      <w:pPr>
        <w:spacing w:before="210" w:after="0"/>
        <w:ind w:left="120"/>
        <w:jc w:val="both"/>
      </w:pPr>
      <w:r>
        <w:rPr>
          <w:rFonts w:ascii="Times New Roman" w:hAnsi="Times New Roman"/>
          <w:b/>
          <w:i w:val="false"/>
          <w:color w:val="000000"/>
          <w:sz w:val="22"/>
        </w:rPr>
        <w:t>185—4.39</w:t>
      </w:r>
      <w:r>
        <w:rPr>
          <w:rFonts w:ascii="Times New Roman" w:hAnsi="Times New Roman"/>
          <w:b/>
          <w:i w:val="false"/>
          <w:color w:val="000000"/>
          <w:sz w:val="22"/>
        </w:rPr>
        <w:t xml:space="preserve">(123) </w:t>
      </w:r>
      <w:r>
        <w:rPr>
          <w:rFonts w:ascii="Times New Roman" w:hAnsi="Times New Roman"/>
          <w:b/>
          <w:i w:val="false"/>
          <w:color w:val="000000"/>
          <w:sz w:val="22"/>
        </w:rPr>
        <w:t xml:space="preserve">Intoxication notice.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185—4.40</w:t>
      </w:r>
      <w:r>
        <w:rPr>
          <w:rFonts w:ascii="Times New Roman" w:hAnsi="Times New Roman"/>
          <w:b/>
          <w:i w:val="false"/>
          <w:color w:val="000000"/>
          <w:sz w:val="22"/>
        </w:rPr>
        <w:t xml:space="preserve">(123) </w:t>
      </w:r>
      <w:r>
        <w:rPr>
          <w:rFonts w:ascii="Times New Roman" w:hAnsi="Times New Roman"/>
          <w:b/>
          <w:i w:val="false"/>
          <w:color w:val="000000"/>
          <w:sz w:val="22"/>
        </w:rPr>
        <w:t xml:space="preserve">Warehousing of beer and wine. </w:t>
      </w:r>
      <w:r>
        <w:rPr>
          <w:rFonts w:ascii="Times New Roman" w:hAnsi="Times New Roman"/>
          <w:b w:val="false"/>
          <w:i w:val="false"/>
          <w:color w:val="000000"/>
          <w:sz w:val="22"/>
        </w:rPr>
        <w:t>A person holding a class “A” wine permit or a class “A” beer permit shall warehouse their wine or beer inventory within the state of Iowa. A warehouse of a person holding a class “A” wine permit or a class “A” beer permit shall be considered a licensed premises.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5">
        <w:r>
          <w:rPr>
            <w:rStyle w:val="Hyperlink"/>
            <w:rFonts w:ascii="Times New Roman" w:hAnsi="Times New Roman"/>
            <w:b w:val="false"/>
            <w:i w:val="false"/>
            <w:color w:val="000000"/>
            <w:sz w:val="22"/>
          </w:rPr>
          <w:t>123.127</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123.175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185—4.41</w:t>
      </w:r>
      <w:r>
        <w:rPr>
          <w:rFonts w:ascii="Times New Roman" w:hAnsi="Times New Roman"/>
          <w:b/>
          <w:i w:val="false"/>
          <w:color w:val="000000"/>
          <w:sz w:val="22"/>
        </w:rPr>
        <w:t xml:space="preserve">(123) </w:t>
      </w:r>
      <w:r>
        <w:rPr>
          <w:rFonts w:ascii="Times New Roman" w:hAnsi="Times New Roman"/>
          <w:b/>
          <w:i w:val="false"/>
          <w:color w:val="000000"/>
          <w:sz w:val="22"/>
        </w:rPr>
        <w:t xml:space="preserve">Vending machines to dispense alcoholic beverages prohibited. </w:t>
      </w:r>
      <w:r>
        <w:rPr>
          <w:rFonts w:ascii="Times New Roman" w:hAnsi="Times New Roman"/>
          <w:b w:val="false"/>
          <w:i w:val="false"/>
          <w:color w:val="000000"/>
          <w:sz w:val="22"/>
        </w:rPr>
        <w:t>A retail alcohol licensee shall not install or permit the installation of vending machines on the licensed premises for the purpose of selling, dispensing or serving alcoholic beverages. A vending machine is defined as a slug-, coin-, currency- or credit card-operated mechanical device used for dispensing merchandise, including single cans of beer or other alcoholic beverages, and includes a mechanical device operated by remote control and used for dispensing single cans of beer or other alcoholic beverages. A vending machine is not a unit installed in individual hotel or motel rooms used for the storage of alcoholic beverages and intended for the personal use of hotel or motel guests within the privacy of the guests’ rooms.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7">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December 14, 1972]</w:t>
      </w:r>
    </w:p>
    <w:p>
      <w:pPr>
        <w:spacing w:before="0" w:after="0"/>
        <w:ind w:left="120"/>
        <w:jc w:val="center"/>
      </w:pPr>
      <w:r>
        <w:rPr>
          <w:rFonts w:ascii="Times New Roman" w:hAnsi="Times New Roman"/>
          <w:b w:val="false"/>
          <w:i w:val="false"/>
          <w:color w:val="000000"/>
          <w:sz w:val="21"/>
        </w:rPr>
        <w:t>[Filed 5/19/78, Notice 4/5/78—published 6/14/78, effective 7/20/78]</w:t>
      </w:r>
    </w:p>
    <w:p>
      <w:pPr>
        <w:spacing w:before="0" w:after="0"/>
        <w:ind w:left="120"/>
        <w:jc w:val="center"/>
      </w:pPr>
      <w:r>
        <w:rPr>
          <w:rFonts w:ascii="Times New Roman" w:hAnsi="Times New Roman"/>
          <w:b w:val="false"/>
          <w:i w:val="false"/>
          <w:color w:val="000000"/>
          <w:sz w:val="21"/>
        </w:rPr>
        <w:t>[Filed 2/16/79, Notice 12/27/78—published 3/7/79, effective 4/16/79]</w:t>
      </w:r>
    </w:p>
    <w:p>
      <w:pPr>
        <w:spacing w:before="0" w:after="0"/>
        <w:ind w:left="120"/>
        <w:jc w:val="center"/>
      </w:pPr>
      <w:r>
        <w:rPr>
          <w:rFonts w:ascii="Times New Roman" w:hAnsi="Times New Roman"/>
          <w:b w:val="false"/>
          <w:i w:val="false"/>
          <w:color w:val="000000"/>
          <w:sz w:val="21"/>
        </w:rPr>
        <w:t>[Filed without Notice 7/6/79—published 7/25/79, effective 8/29/79]</w:t>
      </w:r>
    </w:p>
    <w:p>
      <w:pPr>
        <w:spacing w:before="0" w:after="0"/>
        <w:ind w:left="120"/>
        <w:jc w:val="center"/>
      </w:pPr>
      <w:r>
        <w:rPr>
          <w:rFonts w:ascii="Times New Roman" w:hAnsi="Times New Roman"/>
          <w:b w:val="false"/>
          <w:i w:val="false"/>
          <w:color w:val="000000"/>
          <w:sz w:val="21"/>
        </w:rPr>
        <w:t>[Filed 8/15/80, Notice 5/28/80—published 9/3/80, effective 10/8/80]</w:t>
      </w:r>
    </w:p>
    <w:p>
      <w:pPr>
        <w:spacing w:before="0" w:after="0"/>
        <w:ind w:left="120"/>
        <w:jc w:val="center"/>
      </w:pPr>
      <w:r>
        <w:rPr>
          <w:rFonts w:ascii="Times New Roman" w:hAnsi="Times New Roman"/>
          <w:b w:val="false"/>
          <w:i w:val="false"/>
          <w:color w:val="000000"/>
          <w:sz w:val="21"/>
        </w:rPr>
        <w:t>[Filed 1/4/82, Notice 9/2/81—published 1/20/82, effective 2/25/82]</w:t>
      </w:r>
    </w:p>
    <w:p>
      <w:pPr>
        <w:spacing w:before="0" w:after="0"/>
        <w:ind w:left="120"/>
        <w:jc w:val="center"/>
      </w:pPr>
      <w:r>
        <w:rPr>
          <w:rFonts w:ascii="Times New Roman" w:hAnsi="Times New Roman"/>
          <w:b w:val="false"/>
          <w:i w:val="false"/>
          <w:color w:val="000000"/>
          <w:sz w:val="21"/>
        </w:rPr>
        <w:t>[Filed 5/18/82, Notice 3/3/82—published 6/9/82, effective 7/14/82]</w:t>
      </w:r>
    </w:p>
    <w:p>
      <w:pPr>
        <w:spacing w:before="0" w:after="0"/>
        <w:ind w:left="120"/>
        <w:jc w:val="center"/>
      </w:pPr>
      <w:r>
        <w:rPr>
          <w:rFonts w:ascii="Times New Roman" w:hAnsi="Times New Roman"/>
          <w:b w:val="false"/>
          <w:i w:val="false"/>
          <w:color w:val="000000"/>
          <w:sz w:val="21"/>
        </w:rPr>
        <w:t>[Filed 6/17/83, Notice 3/30/83—published 7/6/83, effective 8/10/83]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9/17/84, Notice 6/20/84—published 10/10/84, effective 11/14/84]</w:t>
      </w:r>
    </w:p>
    <w:p>
      <w:pPr>
        <w:spacing w:before="0" w:after="0"/>
        <w:ind w:left="120"/>
        <w:jc w:val="center"/>
      </w:pPr>
      <w:r>
        <w:rPr>
          <w:rFonts w:ascii="Times New Roman" w:hAnsi="Times New Roman"/>
          <w:b w:val="false"/>
          <w:i w:val="false"/>
          <w:color w:val="000000"/>
          <w:sz w:val="21"/>
        </w:rPr>
        <w:t>[Filed 5/3/85, Notice 2/13/85—published 5/22/85, effective 6/26/85]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emergency 7/1/85—published 7/31/85, effective 7/1/85]</w:t>
      </w:r>
    </w:p>
    <w:p>
      <w:pPr>
        <w:spacing w:before="0" w:after="0"/>
        <w:ind w:left="120"/>
        <w:jc w:val="center"/>
      </w:pPr>
      <w:r>
        <w:rPr>
          <w:rFonts w:ascii="Times New Roman" w:hAnsi="Times New Roman"/>
          <w:b w:val="false"/>
          <w:i w:val="false"/>
          <w:color w:val="000000"/>
          <w:sz w:val="21"/>
        </w:rPr>
        <w:t>[Filed emergency 10/10/85—published 11/6/85, effective 10/10/85]</w:t>
      </w:r>
    </w:p>
    <w:p>
      <w:pPr>
        <w:spacing w:before="0" w:after="0"/>
        <w:ind w:left="120"/>
        <w:jc w:val="center"/>
      </w:pPr>
      <w:r>
        <w:rPr>
          <w:rFonts w:ascii="Times New Roman" w:hAnsi="Times New Roman"/>
          <w:b w:val="false"/>
          <w:i w:val="false"/>
          <w:color w:val="000000"/>
          <w:sz w:val="21"/>
        </w:rPr>
        <w:t>[Filed emergency 6/11/86—published 7/2/86, effective 7/1/86]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8/22/86—published 9/10/86, effective 9/30/86]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[Editorially transferred from [150] to [185], IAC Supp. 10/8/86;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11/12/86—published 12/3/86, effective 11/12/86]</w:t>
      </w:r>
    </w:p>
    <w:p>
      <w:pPr>
        <w:spacing w:before="0" w:after="0"/>
        <w:ind w:left="120"/>
        <w:jc w:val="center"/>
      </w:pPr>
      <w:r>
        <w:rPr>
          <w:rFonts w:ascii="Times New Roman" w:hAnsi="Times New Roman"/>
          <w:b w:val="false"/>
          <w:i w:val="false"/>
          <w:color w:val="000000"/>
          <w:sz w:val="21"/>
        </w:rPr>
        <w:t>[Filed emergency 3/6/87—published 3/25/87, effective 3/6/87]</w:t>
      </w:r>
    </w:p>
    <w:p>
      <w:pPr>
        <w:spacing w:before="0" w:after="0"/>
        <w:ind w:left="120"/>
        <w:jc w:val="center"/>
      </w:pPr>
      <w:r>
        <w:rPr>
          <w:rFonts w:ascii="Times New Roman" w:hAnsi="Times New Roman"/>
          <w:b w:val="false"/>
          <w:i w:val="false"/>
          <w:color w:val="000000"/>
          <w:sz w:val="21"/>
        </w:rPr>
        <w:t>[Filed 4/17/87, Notice 12/31/86—published 5/6/87, effective 6/10/87]</w:t>
      </w:r>
    </w:p>
    <w:p>
      <w:pPr>
        <w:spacing w:before="0" w:after="0"/>
        <w:ind w:left="120"/>
        <w:jc w:val="center"/>
      </w:pPr>
      <w:r>
        <w:rPr>
          <w:rFonts w:ascii="Times New Roman" w:hAnsi="Times New Roman"/>
          <w:b w:val="false"/>
          <w:i w:val="false"/>
          <w:color w:val="000000"/>
          <w:sz w:val="21"/>
        </w:rPr>
        <w:t>[Filed 7/24/87, Notice 3/25/87—published 8/12/87, effective 9/16/87]</w:t>
      </w:r>
    </w:p>
    <w:p>
      <w:pPr>
        <w:spacing w:before="0" w:after="0"/>
        <w:ind w:left="120"/>
        <w:jc w:val="center"/>
      </w:pPr>
      <w:r>
        <w:rPr>
          <w:rFonts w:ascii="Times New Roman" w:hAnsi="Times New Roman"/>
          <w:b w:val="false"/>
          <w:i w:val="false"/>
          <w:color w:val="000000"/>
          <w:sz w:val="21"/>
        </w:rPr>
        <w:t>[Filed 4/26/91, Notice 3/20/91—published 5/15/91, effective 6/19/91]</w:t>
      </w:r>
    </w:p>
    <w:p>
      <w:pPr>
        <w:spacing w:before="0" w:after="0"/>
        <w:ind w:left="120"/>
        <w:jc w:val="center"/>
      </w:pPr>
      <w:r>
        <w:rPr>
          <w:rFonts w:ascii="Times New Roman" w:hAnsi="Times New Roman"/>
          <w:b w:val="false"/>
          <w:i w:val="false"/>
          <w:color w:val="000000"/>
          <w:sz w:val="21"/>
        </w:rPr>
        <w:t>[Filed 1/27/92, Notice 8/7/91—published 2/19/92, effective 3/25/92]</w:t>
      </w:r>
    </w:p>
    <w:p>
      <w:pPr>
        <w:spacing w:before="0" w:after="0"/>
        <w:ind w:left="120"/>
        <w:jc w:val="center"/>
      </w:pPr>
      <w:r>
        <w:rPr>
          <w:rFonts w:ascii="Times New Roman" w:hAnsi="Times New Roman"/>
          <w:b w:val="false"/>
          <w:i w:val="false"/>
          <w:color w:val="000000"/>
          <w:sz w:val="21"/>
        </w:rPr>
        <w:t>[Filed emergency 7/29/93—published 8/18/93, effective 7/29/93]</w:t>
      </w:r>
    </w:p>
    <w:p>
      <w:pPr>
        <w:spacing w:before="0" w:after="0"/>
        <w:ind w:left="120"/>
        <w:jc w:val="center"/>
      </w:pPr>
      <w:r>
        <w:rPr>
          <w:rFonts w:ascii="Times New Roman" w:hAnsi="Times New Roman"/>
          <w:b w:val="false"/>
          <w:i w:val="false"/>
          <w:color w:val="000000"/>
          <w:sz w:val="21"/>
        </w:rPr>
        <w:t>[Filed 10/20/93, Notice 8/18/93—published 11/10/93, effective 12/15/93]</w:t>
      </w:r>
    </w:p>
    <w:p>
      <w:pPr>
        <w:spacing w:before="0" w:after="0"/>
        <w:ind w:left="120"/>
        <w:jc w:val="center"/>
      </w:pPr>
      <w:r>
        <w:rPr>
          <w:rFonts w:ascii="Times New Roman" w:hAnsi="Times New Roman"/>
          <w:b w:val="false"/>
          <w:i w:val="false"/>
          <w:color w:val="000000"/>
          <w:sz w:val="21"/>
        </w:rPr>
        <w:t>[Filed 9/26/94, Notice 6/22/94—published 10/26/94, effective 11/30/94]</w:t>
      </w:r>
    </w:p>
    <w:p>
      <w:pPr>
        <w:spacing w:before="0" w:after="0"/>
        <w:ind w:left="120"/>
        <w:jc w:val="center"/>
      </w:pPr>
      <w:r>
        <w:rPr>
          <w:rFonts w:ascii="Times New Roman" w:hAnsi="Times New Roman"/>
          <w:b w:val="false"/>
          <w:i w:val="false"/>
          <w:color w:val="000000"/>
          <w:sz w:val="21"/>
        </w:rPr>
        <w:t>[Filed 10/12/01, Notice 8/8/01—published 10/31/01, effective 12/5/01]</w:t>
      </w:r>
    </w:p>
    <w:p>
      <w:pPr>
        <w:spacing w:before="0" w:after="0"/>
        <w:ind w:left="120"/>
        <w:jc w:val="center"/>
      </w:pPr>
      <w:r>
        <w:rPr>
          <w:rFonts w:ascii="Times New Roman" w:hAnsi="Times New Roman"/>
          <w:b w:val="false"/>
          <w:i w:val="false"/>
          <w:color w:val="000000"/>
          <w:sz w:val="21"/>
        </w:rPr>
        <w:t>[Filed Emergency ARC 0204C, IAB 7/11/12, effective 7/1/12]</w:t>
      </w:r>
    </w:p>
    <w:p>
      <w:pPr>
        <w:spacing w:before="0" w:after="0"/>
        <w:ind w:left="120"/>
        <w:jc w:val="center"/>
      </w:pPr>
      <w:r>
        <w:rPr>
          <w:rFonts w:ascii="Times New Roman" w:hAnsi="Times New Roman"/>
          <w:b w:val="false"/>
          <w:i w:val="false"/>
          <w:color w:val="000000"/>
          <w:sz w:val="21"/>
        </w:rPr>
        <w:t>[Filed ARC 0406C</w:t>
      </w:r>
      <w:r>
        <w:rPr>
          <w:rFonts w:ascii="Times New Roman" w:hAnsi="Times New Roman"/>
          <w:b w:val="false"/>
          <w:i w:val="false"/>
          <w:color w:val="000000"/>
          <w:sz w:val="21"/>
        </w:rPr>
        <w:t xml:space="preserve"> (Notice ARC 0205C, IAB 7/11/12)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2382C</w:t>
      </w:r>
      <w:r>
        <w:rPr>
          <w:rFonts w:ascii="Times New Roman" w:hAnsi="Times New Roman"/>
          <w:b w:val="false"/>
          <w:i w:val="false"/>
          <w:color w:val="000000"/>
          <w:sz w:val="21"/>
        </w:rPr>
        <w:t xml:space="preserve"> (Notice ARC 2255C, IAB 11/25/15)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2777C</w:t>
      </w:r>
      <w:r>
        <w:rPr>
          <w:rFonts w:ascii="Times New Roman" w:hAnsi="Times New Roman"/>
          <w:b w:val="false"/>
          <w:i w:val="false"/>
          <w:color w:val="000000"/>
          <w:sz w:val="21"/>
        </w:rPr>
        <w:t xml:space="preserve"> (Notice ARC 2679C, IAB 8/17/16)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3928C</w:t>
      </w:r>
      <w:r>
        <w:rPr>
          <w:rFonts w:ascii="Times New Roman" w:hAnsi="Times New Roman"/>
          <w:b w:val="false"/>
          <w:i w:val="false"/>
          <w:color w:val="000000"/>
          <w:sz w:val="21"/>
        </w:rPr>
        <w:t xml:space="preserve"> (Notice ARC 3817C, IAB 6/6/18)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5191C</w:t>
      </w:r>
      <w:r>
        <w:rPr>
          <w:rFonts w:ascii="Times New Roman" w:hAnsi="Times New Roman"/>
          <w:b w:val="false"/>
          <w:i w:val="false"/>
          <w:color w:val="000000"/>
          <w:sz w:val="21"/>
        </w:rPr>
        <w:t xml:space="preserve"> (Notice ARC 5111C, IAB 7/29/20)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Emergency ARC 5221C, IAB 10/7/20, effective 10/1/20]</w:t>
      </w:r>
    </w:p>
    <w:p>
      <w:pPr>
        <w:spacing w:before="0" w:after="0"/>
        <w:ind w:left="120"/>
        <w:jc w:val="center"/>
      </w:pPr>
      <w:r>
        <w:rPr>
          <w:rFonts w:ascii="Times New Roman" w:hAnsi="Times New Roman"/>
          <w:b w:val="false"/>
          <w:i w:val="false"/>
          <w:color w:val="000000"/>
          <w:sz w:val="21"/>
        </w:rPr>
        <w:t>[Filed ARC 5338C</w:t>
      </w:r>
      <w:r>
        <w:rPr>
          <w:rFonts w:ascii="Times New Roman" w:hAnsi="Times New Roman"/>
          <w:b w:val="false"/>
          <w:i w:val="false"/>
          <w:color w:val="000000"/>
          <w:sz w:val="21"/>
        </w:rPr>
        <w:t xml:space="preserve"> (Notice ARC 5220C,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5392C</w:t>
      </w:r>
      <w:r>
        <w:rPr>
          <w:rFonts w:ascii="Times New Roman" w:hAnsi="Times New Roman"/>
          <w:b w:val="false"/>
          <w:i w:val="false"/>
          <w:color w:val="000000"/>
          <w:sz w:val="21"/>
        </w:rPr>
        <w:t xml:space="preserve"> (Notice ARC 5242C, IAB 11/4/20)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7073C</w:t>
      </w:r>
      <w:r>
        <w:rPr>
          <w:rFonts w:ascii="Times New Roman" w:hAnsi="Times New Roman"/>
          <w:b w:val="false"/>
          <w:i w:val="false"/>
          <w:color w:val="000000"/>
          <w:sz w:val="21"/>
        </w:rPr>
        <w:t xml:space="preserve"> (Notice ARC 7049C, IAB 7/26/23)</w:t>
      </w:r>
      <w:r>
        <w:rPr>
          <w:rFonts w:ascii="Times New Roman" w:hAnsi="Times New Roman"/>
          <w:b w:val="false"/>
          <w:i w:val="false"/>
          <w:color w:val="000000"/>
          <w:sz w:val="21"/>
        </w:rPr>
        <w:t>, IAB 9/20/23, effective 10/25/23]</w:t>
      </w:r>
    </w:p>
    <w:p>
      <w:pPr>
        <w:spacing w:before="0" w:after="0"/>
        <w:ind w:left="120"/>
        <w:jc w:val="center"/>
      </w:pPr>
      <w:r>
        <w:rPr>
          <w:rFonts w:ascii="Times New Roman" w:hAnsi="Times New Roman"/>
          <w:b w:val="false"/>
          <w:i w:val="false"/>
          <w:color w:val="000000"/>
          <w:sz w:val="21"/>
        </w:rPr>
        <w:t>[Editorial change: IAC Supplement 11/15/23]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4.32 delayed seventy days by the Administrative Rules Review Committee on 8/2/83.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3.pdf" Type="http://schemas.openxmlformats.org/officeDocument/2006/relationships/hyperlink" Id="rId5"/>
    <Relationship TargetMode="External" Target="https://www.legis.iowa.gov/docs/ico/chapter/123.3.pdf" Type="http://schemas.openxmlformats.org/officeDocument/2006/relationships/hyperlink" Id="rId6"/>
    <Relationship TargetMode="External" Target="https://www.legis.iowa.gov/docs/ico/chapter/123.3.pdf" Type="http://schemas.openxmlformats.org/officeDocument/2006/relationships/hyperlink" Id="rId7"/>
    <Relationship TargetMode="External" Target="https://www.legis.iowa.gov/docs/ico/chapter/123.4.pdf" Type="http://schemas.openxmlformats.org/officeDocument/2006/relationships/hyperlink" Id="rId8"/>
    <Relationship TargetMode="External" Target="https://www.legis.iowa.gov/docs/ico/chapter/123.pdf" Type="http://schemas.openxmlformats.org/officeDocument/2006/relationships/hyperlink" Id="rId9"/>
    <Relationship TargetMode="External" Target="https://www.legis.iowa.gov/docs/ico/chapter/123.pdf" Type="http://schemas.openxmlformats.org/officeDocument/2006/relationships/hyperlink" Id="rId10"/>
    <Relationship TargetMode="External" Target="https://www.legis.iowa.gov/docs/ico/chapter/123.39.pdf" Type="http://schemas.openxmlformats.org/officeDocument/2006/relationships/hyperlink" Id="rId11"/>
    <Relationship TargetMode="External" Target="https://www.legis.iowa.gov/docs/ico/chapter/123.39.pdf" Type="http://schemas.openxmlformats.org/officeDocument/2006/relationships/hyperlink" Id="rId12"/>
    <Relationship TargetMode="External" Target="https://www.legis.iowa.gov/docs/ico/chapter/123.3.pdf" Type="http://schemas.openxmlformats.org/officeDocument/2006/relationships/hyperlink" Id="rId13"/>
    <Relationship TargetMode="External" Target="https://www.legis.iowa.gov/docs/ico/chapter/123.10.pdf" Type="http://schemas.openxmlformats.org/officeDocument/2006/relationships/hyperlink" Id="rId14"/>
    <Relationship TargetMode="External" Target="https://www.legis.iowa.gov/docs/ico/chapter/123.39.pdf" Type="http://schemas.openxmlformats.org/officeDocument/2006/relationships/hyperlink" Id="rId15"/>
    <Relationship TargetMode="External" Target="https://www.legis.iowa.gov/docs/ico/chapter/123.3.pdf" Type="http://schemas.openxmlformats.org/officeDocument/2006/relationships/hyperlink" Id="rId16"/>
    <Relationship TargetMode="External" Target="https://www.legis.iowa.gov/docs/ico/chapter/123.3.pdf" Type="http://schemas.openxmlformats.org/officeDocument/2006/relationships/hyperlink" Id="rId17"/>
    <Relationship TargetMode="External" Target="https://www.legis.iowa.gov/docs/ico/chapter/123.3.pdf" Type="http://schemas.openxmlformats.org/officeDocument/2006/relationships/hyperlink" Id="rId18"/>
    <Relationship TargetMode="External" Target="https://www.legis.iowa.gov/docs/ico/chapter/123.4.pdf" Type="http://schemas.openxmlformats.org/officeDocument/2006/relationships/hyperlink" Id="rId19"/>
    <Relationship TargetMode="External" Target="https://www.legis.iowa.gov/docs/ico/chapter/123.49.pdf" Type="http://schemas.openxmlformats.org/officeDocument/2006/relationships/hyperlink" Id="rId20"/>
    <Relationship TargetMode="External" Target="https://www.legis.iowa.gov/docs/ico/chapter/123.3.pdf" Type="http://schemas.openxmlformats.org/officeDocument/2006/relationships/hyperlink" Id="rId21"/>
    <Relationship TargetMode="External" Target="https://www.legis.iowa.gov/docs/iac/rule/185.4.5.pdf" Type="http://schemas.openxmlformats.org/officeDocument/2006/relationships/hyperlink" Id="rId22"/>
    <Relationship TargetMode="External" Target="https://www.legis.iowa.gov/docs/ico/chapter/123.49.pdf" Type="http://schemas.openxmlformats.org/officeDocument/2006/relationships/hyperlink" Id="rId23"/>
    <Relationship TargetMode="External" Target="https://www.legis.iowa.gov/docs/iac/rule/185.4.5.pdf" Type="http://schemas.openxmlformats.org/officeDocument/2006/relationships/hyperlink" Id="rId24"/>
    <Relationship TargetMode="External" Target="https://www.legis.iowa.gov/docs/iac/rule/185.4.5.pdf" Type="http://schemas.openxmlformats.org/officeDocument/2006/relationships/hyperlink" Id="rId25"/>
    <Relationship TargetMode="External" Target="https://www.legis.iowa.gov/docs/iac/rule/185.4.5.pdf" Type="http://schemas.openxmlformats.org/officeDocument/2006/relationships/hyperlink" Id="rId26"/>
    <Relationship TargetMode="External" Target="https://www.legis.iowa.gov/docs/iac/rule/185.4.5.pdf" Type="http://schemas.openxmlformats.org/officeDocument/2006/relationships/hyperlink" Id="rId27"/>
    <Relationship TargetMode="External" Target="www.IowaABD.com" Type="http://schemas.openxmlformats.org/officeDocument/2006/relationships/hyperlink" Id="rId28"/>
    <Relationship TargetMode="External" Target="https://www.legis.iowa.gov/docs/ico/chapter/123.pdf" Type="http://schemas.openxmlformats.org/officeDocument/2006/relationships/hyperlink" Id="rId29"/>
    <Relationship TargetMode="External" Target="https://www.legis.iowa.gov/docs/ico/chapter/124.401.pdf" Type="http://schemas.openxmlformats.org/officeDocument/2006/relationships/hyperlink" Id="rId30"/>
    <Relationship TargetMode="External" Target="https://www.legis.iowa.gov/docs/iac/rule/185.4.5.pdf" Type="http://schemas.openxmlformats.org/officeDocument/2006/relationships/hyperlink" Id="rId31"/>
    <Relationship TargetMode="External" Target="https://www.legis.iowa.gov/docs/iac/rule/185.4.5.pdf" Type="http://schemas.openxmlformats.org/officeDocument/2006/relationships/hyperlink" Id="rId32"/>
    <Relationship TargetMode="External" Target="www.IowaABD.com" Type="http://schemas.openxmlformats.org/officeDocument/2006/relationships/hyperlink" Id="rId33"/>
    <Relationship TargetMode="External" Target="https://www.legis.iowa.gov/docs/ico/chapter/123.33.pdf" Type="http://schemas.openxmlformats.org/officeDocument/2006/relationships/hyperlink" Id="rId34"/>
    <Relationship TargetMode="External" Target="https://www.legis.iowa.gov/docs/ico/chapter/123.39.pdf" Type="http://schemas.openxmlformats.org/officeDocument/2006/relationships/hyperlink" Id="rId35"/>
    <Relationship TargetMode="External" Target="https://www.legis.iowa.gov/docs/ico/chapter/123.49.pdf" Type="http://schemas.openxmlformats.org/officeDocument/2006/relationships/hyperlink" Id="rId36"/>
    <Relationship TargetMode="External" Target="https://www.legis.iowa.gov/docs/ico/chapter/123.31A.pdf" Type="http://schemas.openxmlformats.org/officeDocument/2006/relationships/hyperlink" Id="rId37"/>
    <Relationship TargetMode="External" Target="https://www.legis.iowa.gov/docs/ico/chapter/123.3.pdf" Type="http://schemas.openxmlformats.org/officeDocument/2006/relationships/hyperlink" Id="rId38"/>
    <Relationship TargetMode="External" Target="https://www.legis.iowa.gov/docs/ico/chapter/123.3.pdf" Type="http://schemas.openxmlformats.org/officeDocument/2006/relationships/hyperlink" Id="rId39"/>
    <Relationship TargetMode="External" Target="https://www.legis.iowa.gov/docs/ico/chapter/321.284.pdf" Type="http://schemas.openxmlformats.org/officeDocument/2006/relationships/hyperlink" Id="rId40"/>
    <Relationship TargetMode="External" Target="https://www.legis.iowa.gov/docs/ico/chapter/321.284A.pdf" Type="http://schemas.openxmlformats.org/officeDocument/2006/relationships/hyperlink" Id="rId41"/>
    <Relationship TargetMode="External" Target="https://www.legis.iowa.gov/docs/iac/rule/185.16.7.pdf" Type="http://schemas.openxmlformats.org/officeDocument/2006/relationships/hyperlink" Id="rId42"/>
    <Relationship TargetMode="External" Target="https://www.legis.iowa.gov/docs/ico/chapter/123.pdf" Type="http://schemas.openxmlformats.org/officeDocument/2006/relationships/hyperlink" Id="rId43"/>
    <Relationship TargetMode="External" Target="https://www.legis.iowa.gov/docs/ico/chapter/123.31A.pdf" Type="http://schemas.openxmlformats.org/officeDocument/2006/relationships/hyperlink" Id="rId44"/>
    <Relationship TargetMode="External" Target="https://www.legis.iowa.gov/docs/ico/chapter/725.1.pdf" Type="http://schemas.openxmlformats.org/officeDocument/2006/relationships/hyperlink" Id="rId45"/>
    <Relationship TargetMode="External" Target="https://www.legis.iowa.gov/docs/ico/chapter/725.2.pdf" Type="http://schemas.openxmlformats.org/officeDocument/2006/relationships/hyperlink" Id="rId46"/>
    <Relationship TargetMode="External" Target="https://www.legis.iowa.gov/docs/ico/chapter/725.3.pdf" Type="http://schemas.openxmlformats.org/officeDocument/2006/relationships/hyperlink" Id="rId47"/>
    <Relationship TargetMode="External" Target="https://www.legis.iowa.gov/docs/ico/chapter/728.2.pdf" Type="http://schemas.openxmlformats.org/officeDocument/2006/relationships/hyperlink" Id="rId48"/>
    <Relationship TargetMode="External" Target="https://www.legis.iowa.gov/docs/ico/chapter/728.3.pdf" Type="http://schemas.openxmlformats.org/officeDocument/2006/relationships/hyperlink" Id="rId49"/>
    <Relationship TargetMode="External" Target="https://www.legis.iowa.gov/docs/ico/chapter/728.5.pdf" Type="http://schemas.openxmlformats.org/officeDocument/2006/relationships/hyperlink" Id="rId50"/>
    <Relationship TargetMode="External" Target="https://www.legis.iowa.gov/docs/ico/chapter/123.49.pdf" Type="http://schemas.openxmlformats.org/officeDocument/2006/relationships/hyperlink" Id="rId51"/>
    <Relationship TargetMode="External" Target="https://www.legis.iowa.gov/docs/ico/chapter/123.49.pdf" Type="http://schemas.openxmlformats.org/officeDocument/2006/relationships/hyperlink" Id="rId52"/>
    <Relationship TargetMode="External" Target="https://www.legis.iowa.gov/docs/ico/chapter/123.4.pdf" Type="http://schemas.openxmlformats.org/officeDocument/2006/relationships/hyperlink" Id="rId53"/>
    <Relationship TargetMode="External" Target="https://www.legis.iowa.gov/docs/ico/chapter/123.49.pdf" Type="http://schemas.openxmlformats.org/officeDocument/2006/relationships/hyperlink" Id="rId54"/>
    <Relationship TargetMode="External" Target="https://www.legis.iowa.gov/docs/ico/chapter/725.9.pdf" Type="http://schemas.openxmlformats.org/officeDocument/2006/relationships/hyperlink" Id="rId55"/>
    <Relationship TargetMode="External" Target="https://www.legis.iowa.gov/docs/ico/chapter/123.49.pdf" Type="http://schemas.openxmlformats.org/officeDocument/2006/relationships/hyperlink" Id="rId56"/>
    <Relationship TargetMode="External" Target="https://www.legis.iowa.gov/docs/ico/chapter/123.4.pdf" Type="http://schemas.openxmlformats.org/officeDocument/2006/relationships/hyperlink" Id="rId57"/>
    <Relationship TargetMode="External" Target="https://www.legis.iowa.gov/docs/ico/chapter/123.49.pdf" Type="http://schemas.openxmlformats.org/officeDocument/2006/relationships/hyperlink" Id="rId58"/>
    <Relationship TargetMode="External" Target="https://www.legis.iowa.gov/docs/ico/chapter/123.3.pdf" Type="http://schemas.openxmlformats.org/officeDocument/2006/relationships/hyperlink" Id="rId59"/>
    <Relationship TargetMode="External" Target="https://www.legis.iowa.gov/docs/ico/chapter/123.3.pdf" Type="http://schemas.openxmlformats.org/officeDocument/2006/relationships/hyperlink" Id="rId60"/>
    <Relationship TargetMode="External" Target="https://www.legis.iowa.gov/docs/ico/chapter/123.3.pdf" Type="http://schemas.openxmlformats.org/officeDocument/2006/relationships/hyperlink" Id="rId61"/>
    <Relationship TargetMode="External" Target="https://www.legis.iowa.gov/docs/ico/chapter/321.284.pdf" Type="http://schemas.openxmlformats.org/officeDocument/2006/relationships/hyperlink" Id="rId62"/>
    <Relationship TargetMode="External" Target="https://www.legis.iowa.gov/docs/ico/chapter/321.284A.pdf" Type="http://schemas.openxmlformats.org/officeDocument/2006/relationships/hyperlink" Id="rId63"/>
    <Relationship TargetMode="External" Target="https://www.legis.iowa.gov/docs/ico/chapter/123.3.pdf" Type="http://schemas.openxmlformats.org/officeDocument/2006/relationships/hyperlink" Id="rId64"/>
    <Relationship TargetMode="External" Target="https://www.legis.iowa.gov/docs/ico/chapter/123.30.pdf" Type="http://schemas.openxmlformats.org/officeDocument/2006/relationships/hyperlink" Id="rId65"/>
    <Relationship TargetMode="External" Target="https://www.legis.iowa.gov/docs/ico/chapter/123.pdf" Type="http://schemas.openxmlformats.org/officeDocument/2006/relationships/hyperlink" Id="rId66"/>
    <Relationship TargetMode="External" Target="https://www.legis.iowa.gov/docs/ico/chapter/123.30.pdf" Type="http://schemas.openxmlformats.org/officeDocument/2006/relationships/hyperlink" Id="rId67"/>
    <Relationship TargetMode="External" Target="https://www.legis.iowa.gov/docs/ico/chapter/123.43A.pdf" Type="http://schemas.openxmlformats.org/officeDocument/2006/relationships/hyperlink" Id="rId68"/>
    <Relationship TargetMode="External" Target="https://www.legis.iowa.gov/docs/ico/chapter/123.49.pdf" Type="http://schemas.openxmlformats.org/officeDocument/2006/relationships/hyperlink" Id="rId69"/>
    <Relationship TargetMode="External" Target="https://www.legis.iowa.gov/docs/ico/chapter/123.30.pdf" Type="http://schemas.openxmlformats.org/officeDocument/2006/relationships/hyperlink" Id="rId70"/>
    <Relationship TargetMode="External" Target="https://www.legis.iowa.gov/docs/ico/chapter/123.31A.pdf" Type="http://schemas.openxmlformats.org/officeDocument/2006/relationships/hyperlink" Id="rId71"/>
    <Relationship TargetMode="External" Target="https://www.legis.iowa.gov/docs/ico/chapter/123.31B.pdf" Type="http://schemas.openxmlformats.org/officeDocument/2006/relationships/hyperlink" Id="rId72"/>
    <Relationship TargetMode="External" Target="https://www.legis.iowa.gov/docs/ico/chapter/123.3.pdf" Type="http://schemas.openxmlformats.org/officeDocument/2006/relationships/hyperlink" Id="rId73"/>
    <Relationship TargetMode="External" Target="https://www.legis.iowa.gov/docs/ico/chapter/123.3.pdf" Type="http://schemas.openxmlformats.org/officeDocument/2006/relationships/hyperlink" Id="rId74"/>
    <Relationship TargetMode="External" Target="https://www.legis.iowa.gov/docs/ico/chapter/321.284.pdf" Type="http://schemas.openxmlformats.org/officeDocument/2006/relationships/hyperlink" Id="rId75"/>
    <Relationship TargetMode="External" Target="https://www.legis.iowa.gov/docs/ico/chapter/321.284A.pdf" Type="http://schemas.openxmlformats.org/officeDocument/2006/relationships/hyperlink" Id="rId76"/>
    <Relationship TargetMode="External" Target="https://www.legis.iowa.gov/docs/iac/rule/185.16.7.pdf" Type="http://schemas.openxmlformats.org/officeDocument/2006/relationships/hyperlink" Id="rId77"/>
    <Relationship TargetMode="External" Target="https://www.legis.iowa.gov/docs/ico/chapter/123.pdf" Type="http://schemas.openxmlformats.org/officeDocument/2006/relationships/hyperlink" Id="rId78"/>
    <Relationship TargetMode="External" Target="https://www.legis.iowa.gov/docs/ico/chapter/123.30.pdf" Type="http://schemas.openxmlformats.org/officeDocument/2006/relationships/hyperlink" Id="rId79"/>
    <Relationship TargetMode="External" Target="https://www.legis.iowa.gov/docs/ico/chapter/123.31A.pdf" Type="http://schemas.openxmlformats.org/officeDocument/2006/relationships/hyperlink" Id="rId80"/>
    <Relationship TargetMode="External" Target="https://www.legis.iowa.gov/docs/ico/chapter/123.31B.pdf" Type="http://schemas.openxmlformats.org/officeDocument/2006/relationships/hyperlink" Id="rId81"/>
    <Relationship TargetMode="External" Target="https://www.legis.iowa.gov/docs/ico/chapter/123.4.pdf" Type="http://schemas.openxmlformats.org/officeDocument/2006/relationships/hyperlink" Id="rId82"/>
    <Relationship TargetMode="External" Target="https://www.legis.iowa.gov/docs/ico/chapter/123.30.pdf" Type="http://schemas.openxmlformats.org/officeDocument/2006/relationships/hyperlink" Id="rId83"/>
    <Relationship TargetMode="External" Target="https://www.legis.iowa.gov/docs/ico/chapter/123.3.pdf" Type="http://schemas.openxmlformats.org/officeDocument/2006/relationships/hyperlink" Id="rId84"/>
    <Relationship TargetMode="External" Target="https://www.legis.iowa.gov/docs/ico/chapter/123.4.pdf" Type="http://schemas.openxmlformats.org/officeDocument/2006/relationships/hyperlink" Id="rId85"/>
    <Relationship TargetMode="External" Target="https://www.legis.iowa.gov/docs/ico/chapter/123.38.pdf" Type="http://schemas.openxmlformats.org/officeDocument/2006/relationships/hyperlink" Id="rId86"/>
    <Relationship TargetMode="External" Target="https://www.legis.iowa.gov/docs/ico/chapter/123.4.pdf" Type="http://schemas.openxmlformats.org/officeDocument/2006/relationships/hyperlink" Id="rId87"/>
    <Relationship TargetMode="External" Target="https://www.legis.iowa.gov/docs/ico/chapter/123.32.pdf" Type="http://schemas.openxmlformats.org/officeDocument/2006/relationships/hyperlink" Id="rId88"/>
    <Relationship TargetMode="External" Target="https://www.legis.iowa.gov/docs/ico/chapter/123.39.pdf" Type="http://schemas.openxmlformats.org/officeDocument/2006/relationships/hyperlink" Id="rId89"/>
    <Relationship TargetMode="External" Target="https://www.legis.iowa.gov/docs/ico/chapter/123.4.pdf" Type="http://schemas.openxmlformats.org/officeDocument/2006/relationships/hyperlink" Id="rId90"/>
    <Relationship TargetMode="External" Target="https://www.legis.iowa.gov/docs/ico/chapter/123.39.pdf" Type="http://schemas.openxmlformats.org/officeDocument/2006/relationships/hyperlink" Id="rId91"/>
    <Relationship TargetMode="External" Target="https://www.legis.iowa.gov/docs/ico/chapter/123.4.pdf" Type="http://schemas.openxmlformats.org/officeDocument/2006/relationships/hyperlink" Id="rId92"/>
    <Relationship TargetMode="External" Target="https://www.legis.iowa.gov/docs/ico/chapter/123.10.pdf" Type="http://schemas.openxmlformats.org/officeDocument/2006/relationships/hyperlink" Id="rId93"/>
    <Relationship TargetMode="External" Target="https://www.legis.iowa.gov/docs/ico/chapter/123.4.pdf" Type="http://schemas.openxmlformats.org/officeDocument/2006/relationships/hyperlink" Id="rId94"/>
    <Relationship TargetMode="External" Target="https://www.legis.iowa.gov/docs/ico/chapter/123.38.pdf" Type="http://schemas.openxmlformats.org/officeDocument/2006/relationships/hyperlink" Id="rId95"/>
    <Relationship TargetMode="External" Target="https://www.legis.iowa.gov/docs/ico/chapter/626.pdf" Type="http://schemas.openxmlformats.org/officeDocument/2006/relationships/hyperlink" Id="rId96"/>
    <Relationship TargetMode="External" Target="https://www.legis.iowa.gov/docs/ico/chapter/554.9102.pdf" Type="http://schemas.openxmlformats.org/officeDocument/2006/relationships/hyperlink" Id="rId97"/>
    <Relationship TargetMode="External" Target="https://www.legis.iowa.gov/docs/ico/chapter/554.pdf" Type="http://schemas.openxmlformats.org/officeDocument/2006/relationships/hyperlink" Id="rId98"/>
    <Relationship TargetMode="External" Target="https://www.legis.iowa.gov/docs/ico/chapter/554.9102.pdf" Type="http://schemas.openxmlformats.org/officeDocument/2006/relationships/hyperlink" Id="rId99"/>
    <Relationship TargetMode="External" Target="https://www.legis.iowa.gov/docs/ico/chapter/123.pdf" Type="http://schemas.openxmlformats.org/officeDocument/2006/relationships/hyperlink" Id="rId100"/>
    <Relationship TargetMode="External" Target="https://www.legis.iowa.gov/docs/ico/chapter/626.pdf" Type="http://schemas.openxmlformats.org/officeDocument/2006/relationships/hyperlink" Id="rId101"/>
    <Relationship TargetMode="External" Target="https://www.legis.iowa.gov/docs/ico/chapter/626.pdf" Type="http://schemas.openxmlformats.org/officeDocument/2006/relationships/hyperlink" Id="rId102"/>
    <Relationship TargetMode="External" Target="https://www.legis.iowa.gov/docs/ico/chapter/123.pdf" Type="http://schemas.openxmlformats.org/officeDocument/2006/relationships/hyperlink" Id="rId103"/>
    <Relationship TargetMode="External" Target="https://www.legis.iowa.gov/docs/ico/chapter/123.4.pdf" Type="http://schemas.openxmlformats.org/officeDocument/2006/relationships/hyperlink" Id="rId104"/>
    <Relationship TargetMode="External" Target="https://www.legis.iowa.gov/docs/ico/chapter/123.10.pdf" Type="http://schemas.openxmlformats.org/officeDocument/2006/relationships/hyperlink" Id="rId105"/>
    <Relationship TargetMode="External" Target="https://www.legis.iowa.gov/docs/ico/chapter/123.38.pdf" Type="http://schemas.openxmlformats.org/officeDocument/2006/relationships/hyperlink" Id="rId106"/>
    <Relationship TargetMode="External" Target="https://www.legis.iowa.gov/docs/ico/chapter/123.4.pdf" Type="http://schemas.openxmlformats.org/officeDocument/2006/relationships/hyperlink" Id="rId107"/>
    <Relationship TargetMode="External" Target="https://www.legis.iowa.gov/docs/ico/chapter/123.24.pdf" Type="http://schemas.openxmlformats.org/officeDocument/2006/relationships/hyperlink" Id="rId108"/>
    <Relationship TargetMode="External" Target="https://www.legis.iowa.gov/docs/ico/chapter/123.95.pdf" Type="http://schemas.openxmlformats.org/officeDocument/2006/relationships/hyperlink" Id="rId109"/>
    <Relationship TargetMode="External" Target="https://www.legis.iowa.gov/docs/ico/chapter/123.30.pdf" Type="http://schemas.openxmlformats.org/officeDocument/2006/relationships/hyperlink" Id="rId110"/>
    <Relationship TargetMode="External" Target="https://www.legis.iowa.gov/docs/ico/chapter/123.49.pdf" Type="http://schemas.openxmlformats.org/officeDocument/2006/relationships/hyperlink" Id="rId111"/>
    <Relationship TargetMode="External" Target="https://www.legis.iowa.gov/docs/ico/chapter/123.32.pdf" Type="http://schemas.openxmlformats.org/officeDocument/2006/relationships/hyperlink" Id="rId112"/>
    <Relationship TargetMode="External" Target="https://www.legis.iowa.gov/docs/ico/chapter/123.35.pdf" Type="http://schemas.openxmlformats.org/officeDocument/2006/relationships/hyperlink" Id="rId113"/>
    <Relationship TargetMode="External" Target="https://www.legis.iowa.gov/docs/ico/chapter/17A.18.pdf" Type="http://schemas.openxmlformats.org/officeDocument/2006/relationships/hyperlink" Id="rId114"/>
    <Relationship TargetMode="External" Target="https://www.legis.iowa.gov/docs/ico/chapter/123.39.pdf" Type="http://schemas.openxmlformats.org/officeDocument/2006/relationships/hyperlink" Id="rId115"/>
    <Relationship TargetMode="External" Target="https://www.legis.iowa.gov/docs/ico/chapter/123.39.pdf" Type="http://schemas.openxmlformats.org/officeDocument/2006/relationships/hyperlink" Id="rId116"/>
    <Relationship TargetMode="External" Target="https://www.legis.iowa.gov/docs/ico/chapter/123.49.pdf" Type="http://schemas.openxmlformats.org/officeDocument/2006/relationships/hyperlink" Id="rId117"/>
    <Relationship TargetMode="External" Target="https://www.legis.iowa.gov/docs/ico/chapter/123.4.pdf" Type="http://schemas.openxmlformats.org/officeDocument/2006/relationships/hyperlink" Id="rId118"/>
    <Relationship TargetMode="External" Target="https://www.legis.iowa.gov/docs/ico/chapter/123.41.pdf" Type="http://schemas.openxmlformats.org/officeDocument/2006/relationships/hyperlink" Id="rId119"/>
    <Relationship TargetMode="External" Target="https://www.legis.iowa.gov/docs/ico/chapter/123.4.pdf" Type="http://schemas.openxmlformats.org/officeDocument/2006/relationships/hyperlink" Id="rId120"/>
    <Relationship TargetMode="External" Target="https://www.legis.iowa.gov/docs/ico/chapter/123.21.pdf" Type="http://schemas.openxmlformats.org/officeDocument/2006/relationships/hyperlink" Id="rId121"/>
    <Relationship TargetMode="External" Target="https://www.legis.iowa.gov/docs/ico/chapter/123.10.pdf" Type="http://schemas.openxmlformats.org/officeDocument/2006/relationships/hyperlink" Id="rId122"/>
    <Relationship TargetMode="External" Target="https://www.legis.iowa.gov/docs/ico/chapter/123.21.pdf" Type="http://schemas.openxmlformats.org/officeDocument/2006/relationships/hyperlink" Id="rId123"/>
    <Relationship TargetMode="External" Target="https://www.legis.iowa.gov/docs/ico/chapter/123.10.pdf" Type="http://schemas.openxmlformats.org/officeDocument/2006/relationships/hyperlink" Id="rId124"/>
    <Relationship TargetMode="External" Target="https://www.legis.iowa.gov/docs/ico/chapter/123.127.pdf" Type="http://schemas.openxmlformats.org/officeDocument/2006/relationships/hyperlink" Id="rId125"/>
    <Relationship TargetMode="External" Target="https://www.legis.iowa.gov/docs/ico/chapter/123.175.pdf" Type="http://schemas.openxmlformats.org/officeDocument/2006/relationships/hyperlink" Id="rId126"/>
    <Relationship TargetMode="External" Target="https://www.legis.iowa.gov/docs/ico/chapter/123.49.pdf" Type="http://schemas.openxmlformats.org/officeDocument/2006/relationships/hyperlink" Id="rId1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