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AGENCY PROCEDURE FOR RULE MAKING</w:t>
      </w:r>
    </w:p>
    <w:p>
      <w:pPr>
        <w:spacing w:before="0" w:after="0"/>
        <w:ind w:left="120"/>
        <w:jc w:val="center"/>
      </w:pPr>
      <w:r>
        <w:rPr>
          <w:rFonts w:ascii="Times New Roman" w:hAnsi="Times New Roman"/>
          <w:b w:val="false"/>
          <w:i w:val="false"/>
          <w:color w:val="000000"/>
          <w:sz w:val="14"/>
        </w:rPr>
        <w:t>[Ch 2, IAC 7/1/75 rescinded 3/7/79; see Ch 4]</w:t>
      </w:r>
    </w:p>
    <w:p>
      <w:pPr>
        <w:spacing w:before="0" w:after="0"/>
        <w:ind w:left="120"/>
        <w:jc w:val="center"/>
      </w:pPr>
      <w:r>
        <w:rPr>
          <w:rFonts w:ascii="Times New Roman" w:hAnsi="Times New Roman"/>
          <w:b w:val="false"/>
          <w:i w:val="false"/>
          <w:color w:val="000000"/>
          <w:sz w:val="14"/>
        </w:rPr>
        <w:t>[Prior to 10/8/86, Beer and Liquor Control Department[150]]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185—2.1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provided by statute, all rules adopted by the agency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185—2.2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agency may, before publication of a Notice of Intended Action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agency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185—2.3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agency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agency. For each anticipated rule-making proceeding the docket shall contain a listing of the precise subject matter which may be submitted for consideration by the administrator for subsequent proposal under the provisions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agency personnel with whom persons may communicate with respect to the matter, and an indication of the present status within the agency of that possible rule. The agency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agency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agency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185—2.4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agency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agency shall include in the notice a statement fully describing the specific subject matter of the omitted portion of the text of the proposed rule, the specific issues to be addressed by that omitted text of the proposed rule, and the range of possible choices being considered by the agency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9">
        <w:r>
          <w:rPr>
            <w:rStyle w:val="Hyperlink"/>
            <w:rFonts w:ascii="Times New Roman" w:hAnsi="Times New Roman"/>
            <w:b w:val="false"/>
            <w:i w:val="false"/>
            <w:color w:val="000000"/>
            <w:sz w:val="22"/>
          </w:rPr>
          <w:t>2.12(2)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shall file with the agency a written request indicating the name and address to which such notices should be sent. Within seven days after submission of a Notice of Intended Action to the administrative rules coordinator for publication in the Iowa Administrative Bulletin, the agency shall mail or electronically transmit a copy of that notice to subscribers who have filed a written request for either mailing or electronic transmittal with the agency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185—2.5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Administrator, Alcoholic Beverages Division, 1918 S.E. Hulsizer Road, Ankeny, Iowa 50021,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agency may, at any time, schedule an oral proceeding on a proposed rule. The agency shall schedule an oral proceeding on a proposed rule if, within 20 days after the published Notice of Intended Action, a written request for an opportunity to make oral presentations is submitted to the agency by the administrative rules review committee, a governmental subdivision, an agency, an association having not less than 25 members, or at least 25 persons. That request shall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shall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shall be signed by an officer or designee of the association and shall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shall be signed by an official having authority to act on behalf of the entity and shall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agency, a member of the agency, or another person designated by the agency who is familiar with the substance of the proposed rule shall preside at the oral proceeding on a proposed rule. If the agency does not preside, the presiding officer shall prepare a memorandum for consideration by the agency summarizing the contents of the presentations made at the oral proceeding unless the agency determines that such a memorandum is unnecessary because the agency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agency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 At the beginning of the oral proceeding, the presiding officer shall give a brief synopsis of the proposed rule, a statement of the statutory authority for the proposed rule, and the reasons for the agency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Oral presentation. 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Discussion. 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Authority of presiding officer. 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Submissions. Physical and documentary submissions presented by participants in the oral proceeding shall be submitted to the presiding officer. Such submissions become the property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Continuance. 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Questions. 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Rebuttal statements. 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agency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agency shall schedule oral proceedings in rooms accessible to and functional for persons with physical disabilities. Persons who have special requirements should contact the alcoholic beverages division at (515)281-7400 or 1-866-469-2223 in advance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185—2.6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1">
        <w:r>
          <w:rPr>
            <w:rStyle w:val="Hyperlink"/>
            <w:rFonts w:ascii="Times New Roman" w:hAnsi="Times New Roman"/>
            <w:b w:val="false"/>
            <w:i w:val="false"/>
            <w:color w:val="000000"/>
            <w:sz w:val="22"/>
          </w:rPr>
          <w:t>17A.4A(8)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agency’s small business impact list by making a written application addressed to Alcoholic Beverages Division, 1918 S.E. Hulsizer Road, Ankeny, Iowa 50021.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agency may at any time request additional information from the applicant to determine whether the applicant is qualified as a small business or as an organization of 25 or more small businesses. The agency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agency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2">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agency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agency shall issue a regulatory analysis of a proposed rule that conforms to the requirements of Iowa Code section </w:t>
      </w:r>
      <w:hyperlink r:id="rId13">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agency shall issue a regulatory analysis of a proposed rule that conforms to the requirements of Iowa Code section </w:t>
      </w:r>
      <w:hyperlink r:id="rId14">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agency shall adhere to the time lines described in Iowa Code section </w:t>
      </w:r>
      <w:hyperlink r:id="rId15">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agency. The request shall be in writing and satisfy the requirements of Iowa Code section </w:t>
      </w:r>
      <w:hyperlink r:id="rId16">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17">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 (5), and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agency shall make available, to the maximum extent feasible, copies of the published summary in conformance with Iowa Code section </w:t>
      </w:r>
      <w:hyperlink r:id="rId18">
        <w:r>
          <w:rPr>
            <w:rStyle w:val="Hyperlink"/>
            <w:rFonts w:ascii="Times New Roman" w:hAnsi="Times New Roman"/>
            <w:b w:val="false"/>
            <w:i w:val="false"/>
            <w:color w:val="000000"/>
            <w:sz w:val="22"/>
          </w:rPr>
          <w:t>17A.4A(6)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19">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20">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185—2.7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color w:val="000000"/>
          <w:sz w:val="22"/>
        </w:rPr>
        <w:t xml:space="preserve">Fiscal impact statement.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shall be accompanied by a fiscal impact statement outlining the costs associated with the rule. A fiscal impact statement shall satisfy the requirements of Iowa Code section </w:t>
      </w:r>
      <w:hyperlink r:id="rId21">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color w:val="000000"/>
          <w:sz w:val="22"/>
        </w:rPr>
        <w:t xml:space="preserve">Corrected fiscal impact statement. </w:t>
      </w:r>
      <w:r>
        <w:rPr>
          <w:rFonts w:ascii="Times New Roman" w:hAnsi="Times New Roman"/>
          <w:b w:val="false"/>
          <w:i w:val="false"/>
          <w:color w:val="000000"/>
          <w:sz w:val="22"/>
        </w:rPr>
        <w:t>If the agency determines at the time it adopts a rule that the fiscal impact statement upon which the rule is based contains errors, the agency shall, at the same time, issue a corrected fiscal impact statement and publish the corrected fiscal impact statement in the Iowa Administrative Bulletin.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185—2.8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agency shall not adopt a rule until the period for making written submissions and oral presentations has expired. Within 180 days after the later of the publication of the Notice of Intended Action, or the end of oral proceedings thereon, the agency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agency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w:t>
      </w:r>
      <w:r>
        <w:rPr>
          <w:rFonts w:ascii="Times New Roman" w:hAnsi="Times New Roman"/>
          <w:b w:val="false"/>
          <w:i w:val="false"/>
          <w:color w:val="000000"/>
          <w:sz w:val="22"/>
        </w:rPr>
        <w:t> </w:t>
      </w:r>
      <w:r>
        <w:rPr>
          <w:rFonts w:ascii="Times New Roman" w:hAnsi="Times New Roman"/>
          <w:b w:val="false"/>
          <w:i/>
          <w:color w:val="000000"/>
          <w:sz w:val="22"/>
        </w:rPr>
        <w:t xml:space="preserve">Reliance on agency expertise. </w:t>
      </w:r>
      <w:r>
        <w:rPr>
          <w:rFonts w:ascii="Times New Roman" w:hAnsi="Times New Roman"/>
          <w:b w:val="false"/>
          <w:i w:val="false"/>
          <w:color w:val="000000"/>
          <w:sz w:val="22"/>
        </w:rPr>
        <w:t>Except as otherwise provided by law, the agency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185—2.9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color w:val="000000"/>
          <w:sz w:val="22"/>
        </w:rPr>
        <w:t xml:space="preserve">Rule different from proposed Notice of Intended Action. </w:t>
      </w:r>
      <w:r>
        <w:rPr>
          <w:rFonts w:ascii="Times New Roman" w:hAnsi="Times New Roman"/>
          <w:b w:val="false"/>
          <w:i w:val="false"/>
          <w:color w:val="000000"/>
          <w:sz w:val="22"/>
        </w:rPr>
        <w:t>The agency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color w:val="000000"/>
          <w:sz w:val="22"/>
        </w:rPr>
        <w:t xml:space="preserve">Determining fair warning.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agency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subject matter of the rule or the issues determined by the rule are different from the subject matter or issues contained in the Notice of Intended Action;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rule-making proceeding. </w:t>
      </w:r>
      <w:r>
        <w:rPr>
          <w:rFonts w:ascii="Times New Roman" w:hAnsi="Times New Roman"/>
          <w:b w:val="false"/>
          <w:i w:val="false"/>
          <w:color w:val="000000"/>
          <w:sz w:val="22"/>
        </w:rPr>
        <w:t>The agency shall commence a rule-making proceeding within 60 days of its receipt of a petition for rule making seeking the amendment or repeal of a rule that differs from the proposed rule contained in the Notice of Intended Action upon which the rule is based, unless the agency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w:t>
      </w:r>
      <w:r>
        <w:rPr>
          <w:rFonts w:ascii="Times New Roman" w:hAnsi="Times New Roman"/>
          <w:b w:val="false"/>
          <w:i w:val="false"/>
          <w:color w:val="000000"/>
          <w:sz w:val="22"/>
        </w:rPr>
        <w:t> </w:t>
      </w:r>
      <w:r>
        <w:rPr>
          <w:rFonts w:ascii="Times New Roman" w:hAnsi="Times New Roman"/>
          <w:b w:val="false"/>
          <w:i/>
          <w:color w:val="000000"/>
          <w:sz w:val="22"/>
        </w:rPr>
        <w:t xml:space="preserve">Concurrent rule-making proceedings. </w:t>
      </w:r>
      <w:r>
        <w:rPr>
          <w:rFonts w:ascii="Times New Roman" w:hAnsi="Times New Roman"/>
          <w:b w:val="false"/>
          <w:i w:val="false"/>
          <w:color w:val="000000"/>
          <w:sz w:val="22"/>
        </w:rPr>
        <w:t>Nothing in this rule disturbs the discretion of the agency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185—2.10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agency for good cause finds that public notice and participation are unnecessary, impracticable, or contrary to the public interest in the process of adopting a particular rule, the agency may adopt that rule without publishing advance Notice of Intended Action in the Iowa Administrative Bulletin and without providing for written or oral public submissions prior to its adoption.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agency may, at any time, commence a standard rule-making proceeding for the adoption of a rule that is identical or similar to a rule it adopts in reliance upon subrule </w:t>
      </w:r>
      <w:hyperlink r:id="rId22">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agency shall commence a standard rule-making proceeding for any rule specified in the petition that was adopted in reliance upon subrule </w:t>
      </w:r>
      <w:hyperlink r:id="rId23">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xml:space="preserve">. Such a petition shall be filed within one year of the publication of the specified rule in the Iowa Administrative Bulletin as an adopted rule. The rule-making proceeding on that rule shall be commenced within 60 days of the receipt of such a petition. After a standard rule-making proceeding commenced pursuant to this subrule, the agency may either readopt the rule it adopted without benefit of all usual procedures on the basis of subrule </w:t>
      </w:r>
      <w:hyperlink r:id="rId24">
        <w:r>
          <w:rPr>
            <w:rStyle w:val="Hyperlink"/>
            <w:rFonts w:ascii="Times New Roman" w:hAnsi="Times New Roman"/>
            <w:b w:val="false"/>
            <w:i w:val="false"/>
            <w:color w:val="000000"/>
            <w:sz w:val="22"/>
          </w:rPr>
          <w:t>2.10(1)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185—2.11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agency shall issue a concise statement of reasons for the rule. Requests for such a statement shall be in writing and be delivered to the Alcoholic Beverages Division, 1918 S.E. Hulsizer Road, Ankeny, Iowa 50021.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agency’s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agency shall issue a concise statement of reasons by the later of the time the rule is adopted or 35 days after receipt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185—2.12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agency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agency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5">
        <w:r>
          <w:rPr>
            <w:rStyle w:val="Hyperlink"/>
            <w:rFonts w:ascii="Times New Roman" w:hAnsi="Times New Roman"/>
            <w:b w:val="false"/>
            <w:i w:val="false"/>
            <w:color w:val="000000"/>
            <w:sz w:val="22"/>
          </w:rPr>
          <w:t>17A.4A(1)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agency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26">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or the agency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agency may incorporate by reference in a proposed or adopted rule, and without causing publication of the incorporated matter in full, all or any part of a code, standard, rule, or other matter if the agency finds that the incorporation of its text in the agency proposed or adopted rule would be unduly cumbersome, expensive, or otherwise inexpedient. The reference in the agency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agency may incorporate such matter by reference in a proposed or adopted rule only if the agency makes copies of it readily available to the public. The rule shall state how and where copies of the incorporated matter may be obtained at cost from this agency, and how and where copies may be obtained from the agency of the United States, this state, another state, or the organization, association, or persons, originally issuing that matter. The agency shall retain permanently a copy of any materials incorporated by reference in a rule of the agency.</w:t>
      </w:r>
    </w:p>
    <w:p>
      <w:pPr>
        <w:spacing w:before="0" w:after="0"/>
        <w:ind w:left="120"/>
        <w:jc w:val="both"/>
      </w:pPr>
      <w:r>
        <w:rPr>
          <w:rFonts w:ascii="Times New Roman" w:hAnsi="Times New Roman"/>
          <w:b w:val="false"/>
          <w:i w:val="false"/>
          <w:color w:val="000000"/>
          <w:sz w:val="22"/>
        </w:rPr>
        <w:t>If the agency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agency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agency. The agency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agency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agency shall follow the uniform numbering system, form, and style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185—2.13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agency shall maintain an official rule-making record for each rule it proposes by publication in the Iowa Administrative Bulletin of a Notice of Intended Action, or adopts. The rule-making record and materials incorporated by reference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agency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agency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agency’s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agency, and all other written materials of a factual nature as distinguished from opinion that are relevant to the merits of the rule and that were created or compiled by the agency and considered by the administrator, in connection with the formulation, proposal, or adoption of the rule or the proceeding upon which the rule is based, except to the extent the agency is authorized by law to keep them confidential; provided, however, that when any such materials are deleted because they are authorized by law to be kept confidential, the agency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27">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8">
        <w:r>
          <w:rPr>
            <w:rStyle w:val="Hyperlink"/>
            <w:rFonts w:ascii="Times New Roman" w:hAnsi="Times New Roman"/>
            <w:b w:val="false"/>
            <w:i w:val="false"/>
            <w:color w:val="000000"/>
            <w:sz w:val="22"/>
          </w:rPr>
          <w:t>17A.4(6)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any agency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agency rule-making record required by this rule need not constitute the exclusive basis for agency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agency shall maintain the rule-making record for a period of not less than five years from the later of the date the rule to which it pertains became effective, the date of the Notice of Intended Action, or the date of any written criticism as described in paragraph </w:t>
      </w:r>
      <w:hyperlink r:id="rId29">
        <w:r>
          <w:rPr>
            <w:rStyle w:val="Hyperlink"/>
            <w:rFonts w:ascii="Times New Roman" w:hAnsi="Times New Roman"/>
            <w:b w:val="false"/>
            <w:i w:val="false"/>
            <w:color w:val="000000"/>
            <w:sz w:val="22"/>
          </w:rPr>
          <w:t>2.13(2)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185—2.14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agency shall file each rule it adopts in the office of the administrative rules coordinator. The filing shall be executed as soon after adoption of the rule as is practicable. At the time of filing, each rule shall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shall be attached to the filed rule within five working days after the note or statement is issued. In filing a rule, the agency shall use the standard form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185—2.15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agency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agency makes a rule effective prior to its indexing and publication in reliance upon the provisions of Iowa Code section </w:t>
      </w:r>
      <w:hyperlink r:id="rId30">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agency shall employ all reasonable efforts to make its contents known to the persons who may be affected by that rule prior to the rule’s indexing and publication. The term “all reasonable efforts” requires the agency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agency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1">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subrule </w:t>
      </w:r>
      <w:hyperlink r:id="rId32">
        <w:r>
          <w:rPr>
            <w:rStyle w:val="Hyperlink"/>
            <w:rFonts w:ascii="Times New Roman" w:hAnsi="Times New Roman"/>
            <w:b w:val="false"/>
            <w:i w:val="false"/>
            <w:color w:val="000000"/>
            <w:sz w:val="22"/>
          </w:rPr>
          <w:t>2.15(2)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185—2.16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agency shall maintain an official, current, and dated compilation that is indexed by subject, containing all of its general statements of policy within the scope of Iowa Code section </w:t>
      </w:r>
      <w:hyperlink r:id="rId33">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“a,” “c,” “f,” “g,” “h,” “k.”</w:t>
      </w:r>
      <w:r>
        <w:rPr>
          <w:rFonts w:ascii="Times New Roman" w:hAnsi="Times New Roman"/>
          <w:b w:val="false"/>
          <w:i w:val="false"/>
          <w:color w:val="000000"/>
          <w:sz w:val="22"/>
        </w:rPr>
        <w:t xml:space="preserve"> Each addition to, change in, or deletion from the official compilation shall also be dated, indexed, and a record thereof kept. Except for those portions containing rules governed by Iowa Code section </w:t>
      </w:r>
      <w:hyperlink r:id="rId34">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shall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agency to the detriment of any person who does not have actual, timely knowledge of the contents of the statement until the requirements of subrule </w:t>
      </w:r>
      <w:hyperlink r:id="rId35">
        <w:r>
          <w:rPr>
            <w:rStyle w:val="Hyperlink"/>
            <w:rFonts w:ascii="Times New Roman" w:hAnsi="Times New Roman"/>
            <w:b w:val="false"/>
            <w:i w:val="false"/>
            <w:color w:val="000000"/>
            <w:sz w:val="22"/>
          </w:rPr>
          <w:t>2.16(1)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185—2.17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agency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review. </w:t>
      </w:r>
      <w:r>
        <w:rPr>
          <w:rFonts w:ascii="Times New Roman" w:hAnsi="Times New Roman"/>
          <w:b w:val="false"/>
          <w:i w:val="false"/>
          <w:color w:val="000000"/>
          <w:sz w:val="22"/>
        </w:rPr>
        <w:t>Any interested person, association, agency, or political subdivision may submit a written request to the administrative rules coordinator requesting the agency to conduct a formal review of a specified rule. Upon approval of that request by the administrative rules coordinator, the agency shall conduct a formal review of a specified rule to determine whether a new rule should be adopted instead or the rule should be amended or repealed. The agency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Formal review process. </w:t>
      </w:r>
      <w:r>
        <w:rPr>
          <w:rFonts w:ascii="Times New Roman" w:hAnsi="Times New Roman"/>
          <w:b w:val="false"/>
          <w:i w:val="false"/>
          <w:color w:val="000000"/>
          <w:sz w:val="22"/>
        </w:rPr>
        <w:t>In conducting the formal review, the agency shall prepare within a reasonable time a written report summarizing its findings, its supporting reasons, and any proposed course of action. The report shall include a concise statement of the agency’s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agency or granted by the agency. The report shall describe alternative solutions to resolve the criticisms of the rule, the reasons any were rejected, and any changes made in the rule in response to the criticisms as well as the reasons for the changes. A copy of the agency’s report shall be sent to the administrative rules review committee and the administrative rules coordinator. The report shall also be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2/16/79, Notice 12/27/78—published 3/7/79, effective 4/16/79]</w:t>
      </w:r>
    </w:p>
    <w:p>
      <w:pPr>
        <w:spacing w:before="0" w:after="0"/>
        <w:ind w:left="120"/>
        <w:jc w:val="center"/>
      </w:pPr>
      <w:r>
        <w:rPr>
          <w:rFonts w:ascii="Times New Roman" w:hAnsi="Times New Roman"/>
          <w:b w:val="false"/>
          <w:i w:val="false"/>
          <w:color w:val="000000"/>
          <w:sz w:val="21"/>
        </w:rPr>
        <w:t>[Filed without Notice 7/6/79—published 7/25/79, effective 8/29/79]</w:t>
      </w:r>
    </w:p>
    <w:p>
      <w:pPr>
        <w:spacing w:before="0" w:after="0"/>
        <w:ind w:left="120"/>
        <w:jc w:val="center"/>
      </w:pPr>
      <w:r>
        <w:rPr>
          <w:rFonts w:ascii="Times New Roman" w:hAnsi="Times New Roman"/>
          <w:b w:val="false"/>
          <w:i w:val="false"/>
          <w:color w:val="000000"/>
          <w:sz w:val="21"/>
        </w:rPr>
        <w:t>[Filed emergency 5/19/82—published 6/9/82, effective 5/19/82]</w:t>
      </w:r>
    </w:p>
    <w:p>
      <w:pPr>
        <w:spacing w:before="0" w:after="0"/>
        <w:ind w:left="120"/>
        <w:jc w:val="center"/>
      </w:pPr>
      <w:r>
        <w:rPr>
          <w:rFonts w:ascii="Times New Roman" w:hAnsi="Times New Roman"/>
          <w:b w:val="false"/>
          <w:i w:val="false"/>
          <w:color w:val="000000"/>
          <w:sz w:val="21"/>
        </w:rPr>
        <w:t>[Filed emergency 7/1/86—published 7/30/86, effective 7/1/86]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 xml:space="preserve">[Editorially transferred from [150] to [185], IAC Supp. 10/8/86;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4/28/99, Notice 3/24/99—published 5/19/99, effective 6/23/99]</w:t>
      </w:r>
    </w:p>
    <w:p>
      <w:pPr>
        <w:spacing w:before="0" w:after="0"/>
        <w:ind w:left="120"/>
        <w:jc w:val="center"/>
      </w:pPr>
      <w:r>
        <w:rPr>
          <w:rFonts w:ascii="Times New Roman" w:hAnsi="Times New Roman"/>
          <w:b w:val="false"/>
          <w:i w:val="false"/>
          <w:color w:val="000000"/>
          <w:sz w:val="21"/>
        </w:rPr>
        <w:t>[Filed ARC 0273C</w:t>
      </w:r>
      <w:r>
        <w:rPr>
          <w:rFonts w:ascii="Times New Roman" w:hAnsi="Times New Roman"/>
          <w:b w:val="false"/>
          <w:i w:val="false"/>
          <w:color w:val="000000"/>
          <w:sz w:val="21"/>
        </w:rPr>
        <w:t xml:space="preserve"> (Notice ARC 0142C, IAB 5/30/12)</w:t>
      </w:r>
      <w:r>
        <w:rPr>
          <w:rFonts w:ascii="Times New Roman" w:hAnsi="Times New Roman"/>
          <w:b w:val="false"/>
          <w:i w:val="false"/>
          <w:color w:val="000000"/>
          <w:sz w:val="21"/>
        </w:rPr>
        <w:t>, IAB 8/8/12, effective 9/12/12]</w:t>
      </w:r>
    </w:p>
    <w:p>
      <w:pPr>
        <w:pBdr>
          <w:bottom w:space="2"/>
        </w:pBdr>
        <w:spacing w:before="0" w:after="0"/>
        <w:ind w:left="120"/>
        <w:jc w:val="both"/>
      </w:pPr>
      <w:r>
        <w:rPr>
          <w:rFonts w:ascii="Times New Roman" w:hAnsi="Times New Roman"/>
          <w:b w:val="false"/>
          <w:i w:val="false"/>
          <w:color w:val="000000"/>
          <w:sz w:val="22"/>
        </w:rPr>
        <w:t>See Alcoholic Beverages Division, IAB 7/30/86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185.2.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25B.6.pdf" Type="http://schemas.openxmlformats.org/officeDocument/2006/relationships/hyperlink" Id="rId21"/>
    <Relationship TargetMode="External" Target="https://www.legis.iowa.gov/docs/iac/rule/185.2.10.pdf" Type="http://schemas.openxmlformats.org/officeDocument/2006/relationships/hyperlink" Id="rId22"/>
    <Relationship TargetMode="External" Target="https://www.legis.iowa.gov/docs/iac/rule/185.2.10.pdf" Type="http://schemas.openxmlformats.org/officeDocument/2006/relationships/hyperlink" Id="rId23"/>
    <Relationship TargetMode="External" Target="https://www.legis.iowa.gov/docs/iac/rule/185.2.10.pdf" Type="http://schemas.openxmlformats.org/officeDocument/2006/relationships/hyperlink" Id="rId24"/>
    <Relationship TargetMode="External" Target="https://www.legis.iowa.gov/docs/ico/chapter/17A.4A.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co/chapter/17A.4.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ac/rule/185.2.13.pdf" Type="http://schemas.openxmlformats.org/officeDocument/2006/relationships/hyperlink" Id="rId29"/>
    <Relationship TargetMode="External" Target="https://www.legis.iowa.gov/docs/ico/chapter/17A.5.pdf" Type="http://schemas.openxmlformats.org/officeDocument/2006/relationships/hyperlink" Id="rId30"/>
    <Relationship TargetMode="External" Target="https://www.legis.iowa.gov/docs/ico/chapter/17A.5.pdf" Type="http://schemas.openxmlformats.org/officeDocument/2006/relationships/hyperlink" Id="rId31"/>
    <Relationship TargetMode="External" Target="https://www.legis.iowa.gov/docs/iac/rule/185.2.15.pdf" Type="http://schemas.openxmlformats.org/officeDocument/2006/relationships/hyperlink" Id="rId32"/>
    <Relationship TargetMode="External" Target="https://www.legis.iowa.gov/docs/ico/chapter/17A.2.pdf" Type="http://schemas.openxmlformats.org/officeDocument/2006/relationships/hyperlink" Id="rId33"/>
    <Relationship TargetMode="External" Target="https://www.legis.iowa.gov/docs/ico/chapter/17A.2.pdf" Type="http://schemas.openxmlformats.org/officeDocument/2006/relationships/hyperlink" Id="rId34"/>
    <Relationship TargetMode="External" Target="https://www.legis.iowa.gov/docs/iac/rule/185.2.16.pdf" Type="http://schemas.openxmlformats.org/officeDocument/2006/relationships/hyperlink" Id="rId35"/>
    <Relationship TargetMode="External" Target="https://www.legis.iowa.gov/docs/ico/chapter/17A.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