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WAIVERS FROM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185—19.1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a uniform process for the granting of waivers from rules adopted by the division. The intent of this chapter is to allow persons to seek exception to the application of rules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chapter, a “waiver” means an action by the division that suspends in whole or in part the requirements or provisions of a rule as applied to an identified person on the basis of the particular circumstances of that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division may be granted in accordance with this chapter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has the authority to promulgate the rule from which the waiver is requested or has final decision-making authority over a contested case in which a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statute or rule otherwise controls the granting of a waiver from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that is imposed by statute. All waivers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5393C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185—19.2</w:t>
      </w:r>
      <w:r>
        <w:rPr>
          <w:rFonts w:ascii="Times New Roman" w:hAnsi="Times New Roman"/>
          <w:b/>
          <w:i w:val="false"/>
          <w:color w:val="000000"/>
          <w:sz w:val="22"/>
        </w:rPr>
        <w:t xml:space="preserve">(17A) </w:t>
      </w:r>
      <w:r>
        <w:rPr>
          <w:rFonts w:ascii="Times New Roman" w:hAnsi="Times New Roman"/>
          <w:b/>
          <w:i w:val="false"/>
          <w:color w:val="000000"/>
          <w:sz w:val="22"/>
        </w:rPr>
        <w:t xml:space="preserve">Division discretion. </w:t>
      </w:r>
      <w:r>
        <w:rPr>
          <w:rFonts w:ascii="Times New Roman" w:hAnsi="Times New Roman"/>
          <w:b w:val="false"/>
          <w:i w:val="false"/>
          <w:color w:val="000000"/>
          <w:sz w:val="22"/>
        </w:rPr>
        <w:t>The decision on whether the circumstances justify the granting of a waiver shall be made at the discretion of the division upon consideration of all relevant factors. 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The division may, in response to a completed petition, grant a waiver from a rule, in whole or in part, as applied to the circumstances of a specific situation if the division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would result in hardship or injustice to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from the rule on the basis of the particular circumstances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the rule subject to the request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In determining whether a waiver should be granted, the division shall consider whether the underlying intent of the rule is substantially equivalent to full compliance with the rule. When the rule from which a waiver is sought establishes administrative deadlines, the division shall balance the special individual circumstances of the requester with the overall goal of uniform treatment of all licensees and other petitioners.</w:t>
      </w:r>
    </w:p>
    <w:p>
      <w:pPr>
        <w:spacing w:before="0" w:after="0"/>
        <w:ind w:left="120"/>
        <w:jc w:val="both"/>
      </w:pPr>
      <w:r>
        <w:rPr>
          <w:rFonts w:ascii="Times New Roman" w:hAnsi="Times New Roman"/>
          <w:b/>
          <w:i w:val="false"/>
          <w:color w:val="000000"/>
          <w:sz w:val="22"/>
        </w:rPr>
        <w:t>185—19.3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Requester’s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a waiver must be submitted in writing to the Alcoholic Beverages Division, 1918 SE Hulsizer Road, Ankeny, Iowa 50021. If the petition relates to a pending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History of any prior contacts between the division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known to the requester regarding the division’s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division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division rule, the burden of persuasion shall be on the petitioner to demonstrate by clear and convincing evidence that the division should exercise its discretion in the granting of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185—19.4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division shall acknowledge a petition upon receipt. The division shall ensure that, within 30 days of the receipt of the petition, notice of the pendency of the petition and a concise summary of its contents have been provided to all persons to whom notice is required by any provision of law. In addition, the division may give notice to other persons. To accomplish this notice provision, the division may require the petitioner to serve the notice on all persons to whom notice is required by any provision of law and provide a written statement to the division attesting that notice has been provided.</w:t>
      </w:r>
    </w:p>
    <w:p>
      <w:pPr>
        <w:spacing w:before="0" w:after="0"/>
        <w:ind w:left="120"/>
        <w:jc w:val="both"/>
      </w:pPr>
      <w:r>
        <w:rPr>
          <w:rFonts w:ascii="Times New Roman" w:hAnsi="Times New Roman"/>
          <w:b/>
          <w:i w:val="false"/>
          <w:color w:val="000000"/>
          <w:sz w:val="22"/>
        </w:rPr>
        <w:t>185—19.5</w:t>
      </w:r>
      <w:r>
        <w:rPr>
          <w:rFonts w:ascii="Times New Roman" w:hAnsi="Times New Roman"/>
          <w:b/>
          <w:i w:val="false"/>
          <w:color w:val="000000"/>
          <w:sz w:val="22"/>
        </w:rPr>
        <w:t xml:space="preserve">(17A) </w:t>
      </w:r>
      <w:r>
        <w:rPr>
          <w:rFonts w:ascii="Times New Roman" w:hAnsi="Times New Roman"/>
          <w:b/>
          <w:i w:val="false"/>
          <w:color w:val="000000"/>
          <w:sz w:val="22"/>
        </w:rPr>
        <w:t xml:space="preserve">Division’s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division may request additional information from the petitioner relative to the petition and surrounding circumstances. If the petition was not filed in a contested case, the division may, on its own motion or at the petitioner’s request, schedule a telephonic or in-person meeting between the petitioner and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any petition for a waiver filed within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division so provides by rule or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division shall condition the granting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Duration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division, a waiver may be renewed if the division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division shall grant or deny a petition for a waiver as soon as practicable but, in any event, shall do so within 120 days of its receipt, unless the petitioner agrees to a later date. However, if a petition is filed in a contested case, the division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division to grant or deny a petition within the required time period shall be deemed a denial of that petition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185—19.6</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 division shall maintain a record of all orders granting or denying waivers under this chapter. All final rulings in response to requests for waivers shall be indexed and available to members of the public at the Alcoholic Beverages Division, 1918 SE Hulsizer Road, Ankeny, Iowa 50021. All orders granting or denying a waiver petition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Orders containing information that the division is authorized or required to keep confidential shall be edited prior to public inspection.</w:t>
      </w:r>
    </w:p>
    <w:p>
      <w:pPr>
        <w:spacing w:before="0" w:after="0"/>
        <w:ind w:left="120"/>
        <w:jc w:val="both"/>
      </w:pPr>
      <w:r>
        <w:rPr>
          <w:rFonts w:ascii="Times New Roman" w:hAnsi="Times New Roman"/>
          <w:b/>
          <w:i w:val="false"/>
          <w:color w:val="000000"/>
          <w:sz w:val="22"/>
        </w:rPr>
        <w:t>185—19.7</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w:t>
      </w:r>
      <w:r>
        <w:rPr>
          <w:rFonts w:ascii="Times New Roman" w:hAnsi="Times New Roman"/>
          <w:b w:val="false"/>
          <w:i w:val="false"/>
          <w:color w:val="000000"/>
          <w:sz w:val="22"/>
        </w:rPr>
        <w:t>A waiver issued by the division pursuant to this chapter may be withdrawn, canceled, or modified if, after appropriate notice and hearing, the division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request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185—19.8</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is equivalent to a violation of the rule for which the waiver is granted.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185—19.9</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division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i w:val="false"/>
          <w:color w:val="000000"/>
          <w:sz w:val="22"/>
        </w:rPr>
        <w:t>185—19.10</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3/29/01, Notice 2/21/01—published 4/18/01, effective 5/23/01]</w:t>
      </w:r>
    </w:p>
    <w:p>
      <w:pPr>
        <w:spacing w:before="0" w:after="0"/>
        <w:ind w:left="120"/>
        <w:jc w:val="center"/>
      </w:pPr>
      <w:r>
        <w:rPr>
          <w:rFonts w:ascii="Times New Roman" w:hAnsi="Times New Roman"/>
          <w:b w:val="false"/>
          <w:i w:val="false"/>
          <w:color w:val="000000"/>
          <w:sz w:val="21"/>
        </w:rPr>
        <w:t>[Filed ARC 0273C</w:t>
      </w:r>
      <w:r>
        <w:rPr>
          <w:rFonts w:ascii="Times New Roman" w:hAnsi="Times New Roman"/>
          <w:b w:val="false"/>
          <w:i w:val="false"/>
          <w:color w:val="000000"/>
          <w:sz w:val="21"/>
        </w:rPr>
        <w:t xml:space="preserve"> (Notice ARC 0142C,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5393C</w:t>
      </w:r>
      <w:r>
        <w:rPr>
          <w:rFonts w:ascii="Times New Roman" w:hAnsi="Times New Roman"/>
          <w:b w:val="false"/>
          <w:i w:val="false"/>
          <w:color w:val="000000"/>
          <w:sz w:val="21"/>
        </w:rPr>
        <w:t xml:space="preserve"> (Notice ARC 5241C, IAB 11/4/20)</w:t>
      </w:r>
      <w:r>
        <w:rPr>
          <w:rFonts w:ascii="Times New Roman" w:hAnsi="Times New Roman"/>
          <w:b w:val="false"/>
          <w:i w:val="false"/>
          <w:color w:val="000000"/>
          <w:sz w:val="21"/>
        </w:rPr>
        <w:t>, IAB 1/13/21, effective 2/17/21]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18A.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7A.1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