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PRIVATE WINE SALES</w:t>
      </w:r>
    </w:p>
    <w:p>
      <w:pPr>
        <w:spacing w:before="0" w:after="0"/>
        <w:ind w:left="120"/>
        <w:jc w:val="center"/>
      </w:pPr>
      <w:r>
        <w:rPr>
          <w:rFonts w:ascii="Times New Roman" w:hAnsi="Times New Roman"/>
          <w:b w:val="false"/>
          <w:i w:val="false"/>
          <w:color w:val="000000"/>
          <w:sz w:val="14"/>
        </w:rPr>
        <w:t>[Prior to 10/8/86, Beer and Liquor Control Department[150]]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185—14.1</w:t>
      </w:r>
      <w:r>
        <w:rPr>
          <w:rFonts w:ascii="Times New Roman" w:hAnsi="Times New Roman"/>
          <w:b/>
          <w:i w:val="false"/>
          <w:color w:val="000000"/>
          <w:sz w:val="22"/>
        </w:rPr>
        <w:t xml:space="preserve">(123) </w:t>
      </w:r>
      <w:r>
        <w:rPr>
          <w:rFonts w:ascii="Times New Roman" w:hAnsi="Times New Roman"/>
          <w:b/>
          <w:i w:val="false"/>
          <w:color w:val="000000"/>
          <w:sz w:val="22"/>
        </w:rPr>
        <w:t xml:space="preserve">Wine definition. </w:t>
      </w:r>
      <w:r>
        <w:rPr>
          <w:rFonts w:ascii="Times New Roman" w:hAnsi="Times New Roman"/>
          <w:b w:val="false"/>
          <w:i w:val="false"/>
          <w:color w:val="000000"/>
          <w:sz w:val="22"/>
        </w:rPr>
        <w:t>Wine means any beverage containing more than 5 percent, but not more than 17 percent, of alcohol by weight obtained by the fermentation of the natural sugar content of fruits or other agricultural products by excluding any product containing alcohol derived from malt or by the distillation process from grain cereal, molasses, or cactus. Any wines obtained by the process defined herein that contain more than 17 percent of alcohol by weight will be considered an alcoholic liquor.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123.3(37)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185—14.2</w:t>
      </w:r>
      <w:r>
        <w:rPr>
          <w:rFonts w:ascii="Times New Roman" w:hAnsi="Times New Roman"/>
          <w:b/>
          <w:i w:val="false"/>
          <w:color w:val="000000"/>
          <w:sz w:val="22"/>
        </w:rPr>
        <w:t xml:space="preserve">(123) </w:t>
      </w:r>
      <w:r>
        <w:rPr>
          <w:rFonts w:ascii="Times New Roman" w:hAnsi="Times New Roman"/>
          <w:b/>
          <w:i w:val="false"/>
          <w:color w:val="000000"/>
          <w:sz w:val="22"/>
        </w:rPr>
        <w:t xml:space="preserve">Bottle label requirements and registration. </w:t>
      </w:r>
      <w:r>
        <w:rPr>
          <w:rFonts w:ascii="Times New Roman" w:hAnsi="Times New Roman"/>
          <w:b w:val="false"/>
          <w:i w:val="false"/>
          <w:color w:val="000000"/>
          <w:sz w:val="22"/>
        </w:rPr>
        <w:t>All holders of a vintner’s certificate of compliance must register with the division the labels on all wines they wish to distribute for sale in the state. Applications for label approval will be in letter form and will include a copy of the approved ATF Form 1649, along with the front and back label of the brand for which approval is being requested. No additional approval is required on size extensions unless there is a label change. No wines will be distributed for sales without prior label approval from the division. Requests for approval will be submitted to: The Alcoholic Beverages Division, 1918 S.E. Hulsizer, Ankeny, Iowa 50021, Attn: Products Division.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 subsection 7.</w:t>
      </w:r>
    </w:p>
    <w:p>
      <w:pPr>
        <w:spacing w:before="210" w:after="0"/>
        <w:ind w:left="120"/>
        <w:jc w:val="both"/>
      </w:pPr>
      <w:r>
        <w:rPr>
          <w:rFonts w:ascii="Times New Roman" w:hAnsi="Times New Roman"/>
          <w:b/>
          <w:i w:val="false"/>
          <w:color w:val="000000"/>
          <w:sz w:val="22"/>
        </w:rPr>
        <w:t>185—14.3</w:t>
      </w:r>
      <w:r>
        <w:rPr>
          <w:rFonts w:ascii="Times New Roman" w:hAnsi="Times New Roman"/>
          <w:b/>
          <w:i w:val="false"/>
          <w:color w:val="000000"/>
          <w:sz w:val="22"/>
        </w:rPr>
        <w:t xml:space="preserve">(123) </w:t>
      </w:r>
      <w:r>
        <w:rPr>
          <w:rFonts w:ascii="Times New Roman" w:hAnsi="Times New Roman"/>
          <w:b/>
          <w:i w:val="false"/>
          <w:color w:val="000000"/>
          <w:sz w:val="22"/>
        </w:rPr>
        <w:t xml:space="preserve">Wholesaler discrimination.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5/15/91</w:t>
      </w:r>
      <w:r>
        <w:rPr>
          <w:rFonts w:ascii="Times New Roman" w:hAnsi="Times New Roman"/>
          <w:b w:val="false"/>
          <w:i w:val="false"/>
          <w:color w:val="000000"/>
          <w:sz w:val="22"/>
        </w:rPr>
        <w:t>, effective 6/19/91.</w:t>
      </w:r>
    </w:p>
    <w:p>
      <w:pPr>
        <w:spacing w:before="0" w:after="0"/>
        <w:ind w:left="120"/>
        <w:jc w:val="both"/>
      </w:pPr>
      <w:r>
        <w:rPr>
          <w:rFonts w:ascii="Times New Roman" w:hAnsi="Times New Roman"/>
          <w:b/>
          <w:i w:val="false"/>
          <w:color w:val="000000"/>
          <w:sz w:val="22"/>
        </w:rPr>
        <w:t>185—14.4</w:t>
      </w:r>
      <w:r>
        <w:rPr>
          <w:rFonts w:ascii="Times New Roman" w:hAnsi="Times New Roman"/>
          <w:b/>
          <w:i w:val="false"/>
          <w:color w:val="000000"/>
          <w:sz w:val="22"/>
        </w:rPr>
        <w:t xml:space="preserve">(123) </w:t>
      </w:r>
      <w:r>
        <w:rPr>
          <w:rFonts w:ascii="Times New Roman" w:hAnsi="Times New Roman"/>
          <w:b/>
          <w:i w:val="false"/>
          <w:color w:val="000000"/>
          <w:sz w:val="22"/>
        </w:rPr>
        <w:t xml:space="preserve">Price postings by all holders of vintner’s certificates of compliance. </w:t>
      </w:r>
      <w:r>
        <w:rPr>
          <w:rFonts w:ascii="Times New Roman" w:hAnsi="Times New Roman"/>
          <w:b w:val="false"/>
          <w:i w:val="false"/>
          <w:color w:val="000000"/>
          <w:sz w:val="22"/>
        </w:rPr>
        <w:t>Price postings by all holders of vintner’s certificates of compliance will be required for all wines they wish to distribute within the state. These price postings will be submitted in the format as determined by the division. Prices posted will be the most current case price and should reflect the f.o.b.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cost at the winery, out-of-state warehouse, or port of entry. Information will be made available by the division to all interested parties.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 subsection 6.</w:t>
      </w:r>
    </w:p>
    <w:p>
      <w:pPr>
        <w:spacing w:before="0" w:after="0"/>
        <w:ind w:left="120"/>
        <w:jc w:val="both"/>
      </w:pPr>
      <w:r>
        <w:rPr>
          <w:rFonts w:ascii="Times New Roman" w:hAnsi="Times New Roman"/>
          <w:b/>
          <w:i w:val="false"/>
          <w:color w:val="000000"/>
          <w:sz w:val="22"/>
        </w:rPr>
        <w:t>185—14.5</w:t>
      </w:r>
      <w:r>
        <w:rPr>
          <w:rFonts w:ascii="Times New Roman" w:hAnsi="Times New Roman"/>
          <w:b/>
          <w:i w:val="false"/>
          <w:color w:val="000000"/>
          <w:sz w:val="22"/>
        </w:rPr>
        <w:t xml:space="preserve">(123) </w:t>
      </w:r>
      <w:r>
        <w:rPr>
          <w:rFonts w:ascii="Times New Roman" w:hAnsi="Times New Roman"/>
          <w:b/>
          <w:i w:val="false"/>
          <w:color w:val="000000"/>
          <w:sz w:val="22"/>
        </w:rPr>
        <w:t xml:space="preserve">Price postings. </w:t>
      </w:r>
      <w:r>
        <w:rPr>
          <w:rFonts w:ascii="Times New Roman" w:hAnsi="Times New Roman"/>
          <w:b w:val="false"/>
          <w:i w:val="false"/>
          <w:color w:val="000000"/>
          <w:sz w:val="22"/>
        </w:rPr>
        <w:t>Price postings will be required on all prices charged in sales between Class “A” wine permitholders and Class “B” permitholders. These price postings will contain the most current prices and will be submitted in the format as determined by the division. Frequency of submission will be monthly, commencing July 31, 1985, and each month thereafter as changes occur. The division will post a list of the most current price of wines it lists in a conspicuous place in the agency’s central office and in all state liquor stores. Price postings from both the Class “A” wine permitholder and the division will be consolidated in a master price list each month. This information will be made available to all interested parties.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 subsection 6.</w:t>
      </w:r>
    </w:p>
    <w:p>
      <w:pPr>
        <w:spacing w:before="210" w:after="0"/>
        <w:ind w:left="120"/>
        <w:jc w:val="both"/>
      </w:pPr>
      <w:r>
        <w:rPr>
          <w:rFonts w:ascii="Times New Roman" w:hAnsi="Times New Roman"/>
          <w:b/>
          <w:i w:val="false"/>
          <w:color w:val="000000"/>
          <w:sz w:val="22"/>
        </w:rPr>
        <w:t>185—14.6</w:t>
      </w:r>
      <w:r>
        <w:rPr>
          <w:rFonts w:ascii="Times New Roman" w:hAnsi="Times New Roman"/>
          <w:b/>
          <w:i w:val="false"/>
          <w:color w:val="000000"/>
          <w:sz w:val="22"/>
        </w:rPr>
        <w:t xml:space="preserve">(123) </w:t>
      </w:r>
      <w:r>
        <w:rPr>
          <w:rFonts w:ascii="Times New Roman" w:hAnsi="Times New Roman"/>
          <w:b/>
          <w:i w:val="false"/>
          <w:color w:val="000000"/>
          <w:sz w:val="22"/>
        </w:rPr>
        <w:t xml:space="preserve">Coupons.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5/15/91</w:t>
      </w:r>
      <w:r>
        <w:rPr>
          <w:rFonts w:ascii="Times New Roman" w:hAnsi="Times New Roman"/>
          <w:b w:val="false"/>
          <w:i w:val="false"/>
          <w:color w:val="000000"/>
          <w:sz w:val="22"/>
        </w:rPr>
        <w:t>, effective 6/19/91.</w:t>
      </w:r>
    </w:p>
    <w:p>
      <w:pPr>
        <w:spacing w:before="0" w:after="0"/>
        <w:ind w:left="120"/>
        <w:jc w:val="both"/>
      </w:pPr>
      <w:r>
        <w:rPr>
          <w:rFonts w:ascii="Times New Roman" w:hAnsi="Times New Roman"/>
          <w:b/>
          <w:i w:val="false"/>
          <w:color w:val="000000"/>
          <w:sz w:val="22"/>
        </w:rPr>
        <w:t>185—14.7</w:t>
      </w:r>
      <w:r>
        <w:rPr>
          <w:rFonts w:ascii="Times New Roman" w:hAnsi="Times New Roman"/>
          <w:b/>
          <w:i w:val="false"/>
          <w:color w:val="000000"/>
          <w:sz w:val="22"/>
        </w:rPr>
        <w:t xml:space="preserve">(123) </w:t>
      </w:r>
      <w:r>
        <w:rPr>
          <w:rFonts w:ascii="Times New Roman" w:hAnsi="Times New Roman"/>
          <w:b/>
          <w:i w:val="false"/>
          <w:color w:val="000000"/>
          <w:sz w:val="22"/>
        </w:rPr>
        <w:t xml:space="preserve">Supplier discrimination. </w:t>
      </w:r>
      <w:r>
        <w:rPr>
          <w:rFonts w:ascii="Times New Roman" w:hAnsi="Times New Roman"/>
          <w:b w:val="false"/>
          <w:i w:val="false"/>
          <w:color w:val="000000"/>
          <w:sz w:val="22"/>
        </w:rPr>
        <w:t>A holder of a vintner’s certificate of compliance shall not discriminate on the sale of wine to wholesalers of wine which the vintner designates and files with its application for a vintner’s certificate of compliance as a wholesaler with whom it intends to do business. Nothing in this rule shall be construed to require any holder of a vintner’s certificate of compliance to do business with any wine wholesaler. The holder of a vintner’s certificate of compliance may appoint more than one wine wholesaler to service the same geographical territory.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123.180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185—14.8</w:t>
      </w:r>
      <w:r>
        <w:rPr>
          <w:rFonts w:ascii="Times New Roman" w:hAnsi="Times New Roman"/>
          <w:b w:val="false"/>
          <w:i w:val="false"/>
          <w:color w:val="000000"/>
          <w:sz w:val="22"/>
        </w:rPr>
        <w:t>Rescinded, effective July 1, 1986.</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8/2/85—published 8/28/85, effective 8/2/85]</w:t>
      </w:r>
    </w:p>
    <w:p>
      <w:pPr>
        <w:spacing w:before="0" w:after="0"/>
        <w:ind w:left="120"/>
        <w:jc w:val="center"/>
      </w:pPr>
      <w:r>
        <w:rPr>
          <w:rFonts w:ascii="Times New Roman" w:hAnsi="Times New Roman"/>
          <w:b w:val="false"/>
          <w:i w:val="false"/>
          <w:color w:val="000000"/>
          <w:sz w:val="21"/>
        </w:rPr>
        <w:t>[Filed emergency 9/4/85—published 9/25/85, effective 9/4/85]</w:t>
      </w:r>
    </w:p>
    <w:p>
      <w:pPr>
        <w:spacing w:before="0" w:after="0"/>
        <w:ind w:left="120"/>
        <w:jc w:val="center"/>
      </w:pPr>
      <w:r>
        <w:rPr>
          <w:rFonts w:ascii="Times New Roman" w:hAnsi="Times New Roman"/>
          <w:b w:val="false"/>
          <w:i w:val="false"/>
          <w:color w:val="000000"/>
          <w:sz w:val="21"/>
        </w:rPr>
        <w:t>[Filed emergency 10/28/85—published 11/20/85, effective 10/28/85]</w:t>
      </w:r>
    </w:p>
    <w:p>
      <w:pPr>
        <w:spacing w:before="0" w:after="0"/>
        <w:ind w:left="120"/>
        <w:jc w:val="center"/>
      </w:pPr>
      <w:r>
        <w:rPr>
          <w:rFonts w:ascii="Times New Roman" w:hAnsi="Times New Roman"/>
          <w:b w:val="false"/>
          <w:i w:val="false"/>
          <w:color w:val="000000"/>
          <w:sz w:val="21"/>
        </w:rPr>
        <w:t>[Filed emergency 11/5/85—published 12/4/85, effective 11/16/85]</w:t>
      </w:r>
    </w:p>
    <w:p>
      <w:pPr>
        <w:spacing w:before="0" w:after="0"/>
        <w:ind w:left="120"/>
        <w:jc w:val="center"/>
      </w:pPr>
      <w:r>
        <w:rPr>
          <w:rFonts w:ascii="Times New Roman" w:hAnsi="Times New Roman"/>
          <w:b w:val="false"/>
          <w:i w:val="false"/>
          <w:color w:val="000000"/>
          <w:sz w:val="21"/>
        </w:rPr>
        <w:t>[Filed emergency 12/17/85—published 1/15/86, effective 12/18/85]</w:t>
      </w:r>
    </w:p>
    <w:p>
      <w:pPr>
        <w:spacing w:before="0" w:after="0"/>
        <w:ind w:left="120"/>
        <w:jc w:val="center"/>
      </w:pPr>
      <w:r>
        <w:rPr>
          <w:rFonts w:ascii="Times New Roman" w:hAnsi="Times New Roman"/>
          <w:b w:val="false"/>
          <w:i w:val="false"/>
          <w:color w:val="000000"/>
          <w:sz w:val="21"/>
        </w:rPr>
        <w:t>[Filed emergency 6/11/86—published 7/2/86, effective 7/1/86]</w:t>
      </w:r>
    </w:p>
    <w:p>
      <w:pPr>
        <w:spacing w:before="0" w:after="0"/>
        <w:ind w:left="120"/>
        <w:jc w:val="center"/>
      </w:pPr>
      <w:r>
        <w:rPr>
          <w:rFonts w:ascii="Times New Roman" w:hAnsi="Times New Roman"/>
          <w:b w:val="false"/>
          <w:i w:val="false"/>
          <w:color w:val="000000"/>
          <w:sz w:val="21"/>
        </w:rPr>
        <w:t xml:space="preserve">[Editorially transferred from [150] to [185], IAC Supp. 10/8/86;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4/26/91, Notice 3/20/91—published 5/15/91, effective 6/19/91]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3.pdf" Type="http://schemas.openxmlformats.org/officeDocument/2006/relationships/hyperlink" Id="rId5"/>
    <Relationship TargetMode="External" Target="https://www.legis.iowa.gov/docs/ico/chapter/123.21.pdf" Type="http://schemas.openxmlformats.org/officeDocument/2006/relationships/hyperlink" Id="rId6"/>
    <Relationship TargetMode="External" Target="https://www.legis.iowa.gov/docs/ico/chapter/123.21.pdf" Type="http://schemas.openxmlformats.org/officeDocument/2006/relationships/hyperlink" Id="rId7"/>
    <Relationship TargetMode="External" Target="https://www.legis.iowa.gov/docs/ico/chapter/123.21.pdf" Type="http://schemas.openxmlformats.org/officeDocument/2006/relationships/hyperlink" Id="rId8"/>
    <Relationship TargetMode="External" Target="https://www.legis.iowa.gov/docs/ico/chapter/123.180.pdf" Type="http://schemas.openxmlformats.org/officeDocument/2006/relationships/hyperlink" Id="rId9"/>
    <Relationship TargetMode="External" Target="https://www.legis.iowa.gov/docs/ico/chapter/123.4.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