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[Ch 10, IAC 11/3/75 rescinded see Ch 11]</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185—10.1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alcoholic beverages division.</w:t>
      </w:r>
    </w:p>
    <w:p>
      <w:pPr>
        <w:spacing w:before="0" w:after="0"/>
        <w:ind w:left="120"/>
        <w:jc w:val="both"/>
      </w:pPr>
      <w:r>
        <w:rPr>
          <w:rFonts w:ascii="Times New Roman" w:hAnsi="Times New Roman"/>
          <w:b/>
          <w:i w:val="false"/>
          <w:color w:val="000000"/>
          <w:sz w:val="22"/>
        </w:rPr>
        <w:t>185—10.2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alcoholic beverages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pursuant to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alcoholic beverages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complaint” </w:t>
      </w:r>
      <w:r>
        <w:rPr>
          <w:rFonts w:ascii="Times New Roman" w:hAnsi="Times New Roman"/>
          <w:b w:val="false"/>
          <w:i w:val="false"/>
          <w:color w:val="000000"/>
          <w:sz w:val="22"/>
        </w:rPr>
        <w:t>means a statement in writing filed by, or on behalf of, the division, a local authority having jurisdiction, or the department of public safety that sets forth the acts or omissions with which the respondent is charged, including the statute(s) and rule(s) which are alleged to have been violated. The hearing complaint shall be in sufficient detail to enable the preparation of the respondent’s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authority” </w:t>
      </w:r>
      <w:r>
        <w:rPr>
          <w:rFonts w:ascii="Times New Roman" w:hAnsi="Times New Roman"/>
          <w:b w:val="false"/>
          <w:i w:val="false"/>
          <w:color w:val="000000"/>
          <w:sz w:val="22"/>
        </w:rPr>
        <w:t xml:space="preserve">means “local authority” as defined in Iowa Code section </w:t>
      </w:r>
      <w:hyperlink r:id="rId7">
        <w:r>
          <w:rPr>
            <w:rStyle w:val="Hyperlink"/>
            <w:rFonts w:ascii="Times New Roman" w:hAnsi="Times New Roman"/>
            <w:b w:val="false"/>
            <w:i w:val="false"/>
            <w:color w:val="000000"/>
            <w:sz w:val="22"/>
          </w:rPr>
          <w:t>123.3(30)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administrator, the administrator’s designee, or an administrative law judge from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administrator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Computation. </w:t>
      </w:r>
      <w:r>
        <w:rPr>
          <w:rFonts w:ascii="Times New Roman" w:hAnsi="Times New Roman"/>
          <w:b w:val="false"/>
          <w:i w:val="false"/>
          <w:color w:val="000000"/>
          <w:sz w:val="22"/>
        </w:rPr>
        <w:t xml:space="preserve">Time shall be computed as provided in Iowa Code section </w:t>
      </w:r>
      <w:hyperlink r:id="rId8">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Time extended or shortened.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185—10.4</w:t>
      </w:r>
      <w:r>
        <w:rPr>
          <w:rFonts w:ascii="Times New Roman" w:hAnsi="Times New Roman"/>
          <w:b/>
          <w:i w:val="false"/>
          <w:color w:val="000000"/>
          <w:sz w:val="22"/>
        </w:rPr>
        <w:t xml:space="preserve">(123,17A) </w:t>
      </w:r>
      <w:r>
        <w:rPr>
          <w:rFonts w:ascii="Times New Roman" w:hAnsi="Times New Roman"/>
          <w:b/>
          <w:i w:val="false"/>
          <w:color w:val="000000"/>
          <w:sz w:val="22"/>
        </w:rPr>
        <w:t xml:space="preserve">Statute of limitations. </w:t>
      </w:r>
      <w:r>
        <w:rPr>
          <w:rFonts w:ascii="Times New Roman" w:hAnsi="Times New Roman"/>
          <w:b w:val="false"/>
          <w:i w:val="false"/>
          <w:color w:val="000000"/>
          <w:sz w:val="22"/>
        </w:rPr>
        <w:t xml:space="preserve">Requests for a contested case proceeding alleging a violation of Iowa Code chapter </w:t>
      </w:r>
      <w:hyperlink r:id="rId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must be filed with the division or the local authority within three years from the date of the alleged violation or the date of conviction for the violation, whichever is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185—10.5</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a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Any person claiming an entitlement to a contested case proceeding shall file a written request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agency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185—10.7</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r>
        <w:rPr>
          <w:rFonts w:ascii="Times New Roman" w:hAnsi="Times New Roman"/>
          <w:b w:val="false"/>
          <w:i w:val="false"/>
          <w:color w:val="000000"/>
          <w:sz w:val="22"/>
        </w:rPr>
        <w:t xml:space="preserve">The administrator may appoint an administrative law judge as presiding officer in all contested case hearings pursuant to Iowa Code sections </w:t>
      </w:r>
      <w:hyperlink r:id="rId10">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administrator.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Administrator’s review. </w:t>
      </w:r>
      <w:r>
        <w:rPr>
          <w:rFonts w:ascii="Times New Roman" w:hAnsi="Times New Roman"/>
          <w:b w:val="false"/>
          <w:i w:val="false"/>
          <w:color w:val="000000"/>
          <w:sz w:val="22"/>
        </w:rPr>
        <w:t>Unless otherwise provided by law, the administrator, when reviewing a proposed decision upon intra-agency appeal,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185—10.8</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agency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185—10.9</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185—10.10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subrules 10.10(3)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10.23(9)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Statement of reasons for nonwithdrawal.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15">
        <w:r>
          <w:rPr>
            <w:rStyle w:val="Hyperlink"/>
            <w:rFonts w:ascii="Times New Roman" w:hAnsi="Times New Roman"/>
            <w:b w:val="false"/>
            <w:i w:val="false"/>
            <w:color w:val="000000"/>
            <w:sz w:val="22"/>
          </w:rPr>
          <w:t>subrule 10.10(1)</w:t>
        </w:r>
      </w:hyperlink>
      <w:r>
        <w:rPr>
          <w:rFonts w:ascii="Times New Roman" w:hAnsi="Times New Roman"/>
          <w:b w:val="false"/>
          <w:i w:val="false"/>
          <w:color w:val="000000"/>
          <w:sz w:val="22"/>
        </w:rPr>
        <w:t xml:space="preserve">, the party shall file a motion supported by an affidavit pursuant to Iowa Code section </w:t>
      </w:r>
      <w:hyperlink r:id="rId1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17">
        <w:r>
          <w:rPr>
            <w:rStyle w:val="Hyperlink"/>
            <w:rFonts w:ascii="Times New Roman" w:hAnsi="Times New Roman"/>
            <w:b w:val="false"/>
            <w:i w:val="false"/>
            <w:color w:val="000000"/>
            <w:sz w:val="22"/>
          </w:rPr>
          <w:t>rule 185—10.25(17A)</w:t>
        </w:r>
      </w:hyperlink>
      <w:r>
        <w:rPr>
          <w:rFonts w:ascii="Times New Roman" w:hAnsi="Times New Roman"/>
          <w:b w:val="false"/>
          <w:i w:val="false"/>
          <w:color w:val="000000"/>
          <w:sz w:val="22"/>
        </w:rPr>
        <w:t xml:space="preserve"> and seek a stay under </w:t>
      </w:r>
      <w:hyperlink r:id="rId18">
        <w:r>
          <w:rPr>
            <w:rStyle w:val="Hyperlink"/>
            <w:rFonts w:ascii="Times New Roman" w:hAnsi="Times New Roman"/>
            <w:b w:val="false"/>
            <w:i w:val="false"/>
            <w:color w:val="000000"/>
            <w:sz w:val="22"/>
          </w:rPr>
          <w:t>rule 185—10.29(17A)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185—10.12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Hearing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chapter </w:t>
      </w:r>
      <w:hyperlink r:id="rId1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violation of the division’s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issued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complaint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hearing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hearing complaint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hearing complaint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hearing complaint,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2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Alcoholic Beverages Division, 1918 S.E. Hulsizer Road, Ankeny, Iowa 50021-3941. All pleadings, motions, documents or other papers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division, delivered to an established courier service for immediate delivery to that office, or mailed by first-class mail or state interoffice mail to that office, so long as there is proof of mailing. Parties may file documents with the division by electronic transmission. Filing by electronic transmission is complete upon transmission unless the party making the filing learns that the attempted filing did not reach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886"/>
        <w:gridCol w:w="4886"/>
        <w:gridCol w:w="5418"/>
      </w:tblGrid>
      <w:tr>
        <w:trPr>
          <w:trHeight w:val="1200" w:hRule="atLeast"/>
        </w:trPr>
        <w:tc>
          <w:tcPr>
            <w:tcW w:w="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Alcoholic Beverages Division, 1918 S.E. Hulsizer Road, Ankeny, Iowa 50021-3941, and to the names and addresses of the parties listed below by depositing the same in (a United States post office mailbox with correct postage properly affixed or state interoffice mail).</w:t>
            </w:r>
          </w:p>
        </w:tc>
      </w:tr>
      <w:tr>
        <w:trPr>
          <w:trHeight w:val="270" w:hRule="atLeast"/>
        </w:trPr>
        <w:tc>
          <w:tcPr>
            <w:tcW w:w="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54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10.13(6)</w:t>
      </w:r>
      <w:r>
        <w:rPr>
          <w:rFonts w:ascii="Times New Roman" w:hAnsi="Times New Roman"/>
          <w:b w:val="false"/>
          <w:i w:val="false"/>
          <w:color w:val="000000"/>
          <w:sz w:val="22"/>
        </w:rPr>
        <w:t> </w:t>
      </w:r>
      <w:r>
        <w:rPr>
          <w:rFonts w:ascii="Times New Roman" w:hAnsi="Times New Roman"/>
          <w:b w:val="false"/>
          <w:i/>
          <w:color w:val="000000"/>
          <w:sz w:val="22"/>
        </w:rPr>
        <w:t xml:space="preserve">Facsimile. </w:t>
      </w:r>
      <w:r>
        <w:rPr>
          <w:rFonts w:ascii="Times New Roman" w:hAnsi="Times New Roman"/>
          <w:b w:val="false"/>
          <w:i w:val="false"/>
          <w:color w:val="000000"/>
          <w:sz w:val="22"/>
        </w:rPr>
        <w:t>In appropriate cases, a facsimile copy may be filed with approval of the division with subsequent mailing of the original.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procedures.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Discovery motions.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21">
        <w:r>
          <w:rPr>
            <w:rStyle w:val="Hyperlink"/>
            <w:rFonts w:ascii="Times New Roman" w:hAnsi="Times New Roman"/>
            <w:b w:val="false"/>
            <w:i w:val="false"/>
            <w:color w:val="000000"/>
            <w:sz w:val="22"/>
          </w:rPr>
          <w:t>subrule 10.13(1)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185—10.15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Agency subpoenas. An agency subpoena shall be issued to a party on request. Subpoenas may compel the attendance of witnesses at deposition or hearing and the production of books, papers, records, and other real evidence unless they are otherwise expressly exempt from disclosure by Constitution or statute. A command to produce evidence or to permit inspection may be joined with a command to appear at deposition or hearing, or each command may be issued separately. Subpoenas shall be issued by the presiding officer upon a written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of subpoenas. 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Rehearing motions.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Written responses.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division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division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Rules of Civil Procedure 1.981, 1.982, and 1.983 and shall be subject to disposition according to the requirements of those rules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judgment order rendered on all issues in a contested case is subject to rehearing pursuant to </w:t>
      </w:r>
      <w:hyperlink r:id="rId22">
        <w:r>
          <w:rPr>
            <w:rStyle w:val="Hyperlink"/>
            <w:rFonts w:ascii="Times New Roman" w:hAnsi="Times New Roman"/>
            <w:b w:val="false"/>
            <w:i w:val="false"/>
            <w:color w:val="000000"/>
            <w:sz w:val="22"/>
          </w:rPr>
          <w:t>rule 185—10.28(17A)</w:t>
        </w:r>
      </w:hyperlink>
      <w:r>
        <w:rPr>
          <w:rFonts w:ascii="Times New Roman" w:hAnsi="Times New Roman"/>
          <w:b w:val="false"/>
          <w:i w:val="false"/>
          <w:color w:val="000000"/>
          <w:sz w:val="22"/>
        </w:rPr>
        <w:t xml:space="preserve"> and appeal pursuant to </w:t>
      </w:r>
      <w:hyperlink r:id="rId23">
        <w:r>
          <w:rPr>
            <w:rStyle w:val="Hyperlink"/>
            <w:rFonts w:ascii="Times New Roman" w:hAnsi="Times New Roman"/>
            <w:b w:val="false"/>
            <w:i w:val="false"/>
            <w:color w:val="000000"/>
            <w:sz w:val="22"/>
          </w:rPr>
          <w:t>rule 185—10.27(17A)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continuance.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three days before the hearing except for a good cause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Issuing of continuance.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xml:space="preserve">The presiding officer may require documentation of any grounds for continuance. Notwithstanding the foregoing, each party shall be entitled to one continuance without the need of a good cause showing. </w:t>
      </w:r>
    </w:p>
    <w:p>
      <w:pPr>
        <w:spacing w:before="210" w:after="0"/>
        <w:ind w:left="120"/>
        <w:jc w:val="both"/>
      </w:pPr>
      <w:r>
        <w:rPr>
          <w:rFonts w:ascii="Times New Roman" w:hAnsi="Times New Roman"/>
          <w:b/>
          <w:i w:val="false"/>
          <w:color w:val="000000"/>
          <w:sz w:val="22"/>
        </w:rPr>
        <w:t>185—10.18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without prejudice.</w:t>
      </w:r>
    </w:p>
    <w:p>
      <w:pPr>
        <w:spacing w:before="0" w:after="0"/>
        <w:ind w:left="120"/>
        <w:jc w:val="both"/>
      </w:pPr>
      <w:r>
        <w:rPr>
          <w:rFonts w:ascii="Times New Roman" w:hAnsi="Times New Roman"/>
          <w:b/>
          <w:i w:val="false"/>
          <w:color w:val="000000"/>
          <w:sz w:val="22"/>
        </w:rPr>
        <w:t>185—10.19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as well as the position and interest of the proposed intervenor.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185—10.20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color w:val="000000"/>
          <w:sz w:val="22"/>
        </w:rPr>
        <w:t xml:space="preserve">Role of presiding officer.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color w:val="000000"/>
          <w:sz w:val="22"/>
        </w:rPr>
        <w:t xml:space="preserve">Representative of parties. </w:t>
      </w:r>
      <w:r>
        <w:rPr>
          <w:rFonts w:ascii="Times New Roman" w:hAnsi="Times New Roman"/>
          <w:b w:val="false"/>
          <w:i w:val="false"/>
          <w:color w:val="000000"/>
          <w:sz w:val="22"/>
        </w:rPr>
        <w:t>Parties have the right to participate or to be represented in all hearings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color w:val="000000"/>
          <w:sz w:val="22"/>
        </w:rPr>
        <w:t xml:space="preserve">Role of parties.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color w:val="000000"/>
          <w:sz w:val="22"/>
        </w:rPr>
        <w:t xml:space="preserve">Decorum of hearing.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color w:val="000000"/>
          <w:sz w:val="22"/>
        </w:rPr>
        <w:t xml:space="preserve">Sequestering of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185—10.21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Stipulation of facts.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Scope of evidence.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Admission and examination.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color w:val="000000"/>
          <w:sz w:val="22"/>
        </w:rPr>
        <w:t xml:space="preserve">Objection.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color w:val="000000"/>
          <w:sz w:val="22"/>
        </w:rPr>
        <w:t xml:space="preserve">Offer of service.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Motion for default.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color w:val="000000"/>
          <w:sz w:val="22"/>
        </w:rPr>
        <w:t xml:space="preserve">Motion to vacate.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w:t>
      </w:r>
      <w:hyperlink r:id="rId24">
        <w:r>
          <w:rPr>
            <w:rStyle w:val="Hyperlink"/>
            <w:rFonts w:ascii="Times New Roman" w:hAnsi="Times New Roman"/>
            <w:b w:val="false"/>
            <w:i w:val="false"/>
            <w:color w:val="000000"/>
            <w:sz w:val="22"/>
          </w:rPr>
          <w:t>rule 185—10.27(17A)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w:t>
      </w:r>
      <w:r>
        <w:rPr>
          <w:rFonts w:ascii="Times New Roman" w:hAnsi="Times New Roman"/>
          <w:b w:val="false"/>
          <w:i w:val="false"/>
          <w:color w:val="000000"/>
          <w:sz w:val="22"/>
        </w:rPr>
        <w:t> </w:t>
      </w:r>
      <w:r>
        <w:rPr>
          <w:rFonts w:ascii="Times New Roman" w:hAnsi="Times New Roman"/>
          <w:b w:val="false"/>
          <w:i/>
          <w:color w:val="000000"/>
          <w:sz w:val="22"/>
        </w:rPr>
        <w:t xml:space="preserve">Good cause showing.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w:t>
      </w:r>
      <w:r>
        <w:rPr>
          <w:rFonts w:ascii="Times New Roman" w:hAnsi="Times New Roman"/>
          <w:b w:val="false"/>
          <w:i w:val="false"/>
          <w:color w:val="000000"/>
          <w:sz w:val="22"/>
        </w:rPr>
        <w:t> </w:t>
      </w:r>
      <w:r>
        <w:rPr>
          <w:rFonts w:ascii="Times New Roman" w:hAnsi="Times New Roman"/>
          <w:b w:val="false"/>
          <w:i/>
          <w:color w:val="000000"/>
          <w:sz w:val="22"/>
        </w:rPr>
        <w:t xml:space="preserve">Good cause defined.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25">
        <w:r>
          <w:rPr>
            <w:rStyle w:val="Hyperlink"/>
            <w:rFonts w:ascii="Times New Roman" w:hAnsi="Times New Roman"/>
            <w:b w:val="false"/>
            <w:i w:val="false"/>
            <w:color w:val="000000"/>
            <w:sz w:val="22"/>
          </w:rPr>
          <w:t>rule 185—10.25(17A)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w:t>
      </w:r>
      <w:r>
        <w:rPr>
          <w:rFonts w:ascii="Times New Roman" w:hAnsi="Times New Roman"/>
          <w:b w:val="false"/>
          <w:i w:val="false"/>
          <w:color w:val="000000"/>
          <w:sz w:val="22"/>
        </w:rPr>
        <w:t> </w:t>
      </w:r>
      <w:r>
        <w:rPr>
          <w:rFonts w:ascii="Times New Roman" w:hAnsi="Times New Roman"/>
          <w:b w:val="false"/>
          <w:i/>
          <w:color w:val="000000"/>
          <w:sz w:val="22"/>
        </w:rPr>
        <w:t xml:space="preserve">Resumption of hearing.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w:t>
      </w:r>
      <w:r>
        <w:rPr>
          <w:rFonts w:ascii="Times New Roman" w:hAnsi="Times New Roman"/>
          <w:b w:val="false"/>
          <w:i w:val="false"/>
          <w:color w:val="000000"/>
          <w:sz w:val="22"/>
        </w:rPr>
        <w:t> </w:t>
      </w:r>
      <w:r>
        <w:rPr>
          <w:rFonts w:ascii="Times New Roman" w:hAnsi="Times New Roman"/>
          <w:b w:val="false"/>
          <w:i/>
          <w:color w:val="000000"/>
          <w:sz w:val="22"/>
        </w:rPr>
        <w:t xml:space="preserve">Relief.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10.22(10)</w:t>
      </w:r>
      <w:r>
        <w:rPr>
          <w:rFonts w:ascii="Times New Roman" w:hAnsi="Times New Roman"/>
          <w:b w:val="false"/>
          <w:i w:val="false"/>
          <w:color w:val="000000"/>
          <w:sz w:val="22"/>
        </w:rPr>
        <w:t> </w:t>
      </w:r>
      <w:r>
        <w:rPr>
          <w:rFonts w:ascii="Times New Roman" w:hAnsi="Times New Roman"/>
          <w:b w:val="false"/>
          <w:i/>
          <w:color w:val="000000"/>
          <w:sz w:val="22"/>
        </w:rPr>
        <w:t xml:space="preserve">Effect of decision.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26">
        <w:r>
          <w:rPr>
            <w:rStyle w:val="Hyperlink"/>
            <w:rFonts w:ascii="Times New Roman" w:hAnsi="Times New Roman"/>
            <w:b w:val="false"/>
            <w:i w:val="false"/>
            <w:color w:val="000000"/>
            <w:sz w:val="22"/>
          </w:rPr>
          <w:t>rule 185—10.29(17A)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 xml:space="preserve">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division or seeking the advice or help of persons other than those with a personal interest in, or those engaged in personally investigating as defined in </w:t>
      </w:r>
      <w:hyperlink r:id="rId27">
        <w:r>
          <w:rPr>
            <w:rStyle w:val="Hyperlink"/>
            <w:rFonts w:ascii="Times New Roman" w:hAnsi="Times New Roman"/>
            <w:b w:val="false"/>
            <w:i w:val="false"/>
            <w:color w:val="000000"/>
            <w:sz w:val="22"/>
          </w:rPr>
          <w:t>subrule 10.10(2)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Length of prohibitions.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Forms of ex parte communication.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28">
        <w:r>
          <w:rPr>
            <w:rStyle w:val="Hyperlink"/>
            <w:rFonts w:ascii="Times New Roman" w:hAnsi="Times New Roman"/>
            <w:b w:val="false"/>
            <w:i w:val="false"/>
            <w:color w:val="000000"/>
            <w:sz w:val="22"/>
          </w:rPr>
          <w:t>rule 185—10.13(17A)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w:t>
      </w:r>
      <w:r>
        <w:rPr>
          <w:rFonts w:ascii="Times New Roman" w:hAnsi="Times New Roman"/>
          <w:b w:val="false"/>
          <w:i w:val="false"/>
          <w:color w:val="000000"/>
          <w:sz w:val="22"/>
        </w:rPr>
        <w:t> </w:t>
      </w:r>
      <w:r>
        <w:rPr>
          <w:rFonts w:ascii="Times New Roman" w:hAnsi="Times New Roman"/>
          <w:b w:val="false"/>
          <w:i/>
          <w:color w:val="000000"/>
          <w:sz w:val="22"/>
        </w:rPr>
        <w:t xml:space="preserve">Communication between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10.23(6)</w:t>
      </w:r>
      <w:r>
        <w:rPr>
          <w:rFonts w:ascii="Times New Roman" w:hAnsi="Times New Roman"/>
          <w:b w:val="false"/>
          <w:i w:val="false"/>
          <w:color w:val="000000"/>
          <w:sz w:val="22"/>
        </w:rPr>
        <w:t> </w:t>
      </w:r>
      <w:r>
        <w:rPr>
          <w:rFonts w:ascii="Times New Roman" w:hAnsi="Times New Roman"/>
          <w:b w:val="false"/>
          <w:i/>
          <w:color w:val="000000"/>
          <w:sz w:val="22"/>
        </w:rPr>
        <w:t xml:space="preserve">Deliberations. </w:t>
      </w:r>
      <w:r>
        <w:rPr>
          <w:rFonts w:ascii="Times New Roman" w:hAnsi="Times New Roman"/>
          <w:b w:val="false"/>
          <w:i w:val="false"/>
          <w:color w:val="000000"/>
          <w:sz w:val="22"/>
        </w:rPr>
        <w:t xml:space="preserve">The administrator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29">
        <w:r>
          <w:rPr>
            <w:rStyle w:val="Hyperlink"/>
            <w:rFonts w:ascii="Times New Roman" w:hAnsi="Times New Roman"/>
            <w:b w:val="false"/>
            <w:i w:val="false"/>
            <w:color w:val="000000"/>
            <w:sz w:val="22"/>
          </w:rPr>
          <w:t>subrule 10.23(1)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w:t>
      </w:r>
      <w:r>
        <w:rPr>
          <w:rFonts w:ascii="Times New Roman" w:hAnsi="Times New Roman"/>
          <w:b w:val="false"/>
          <w:i w:val="false"/>
          <w:color w:val="000000"/>
          <w:sz w:val="22"/>
        </w:rPr>
        <w:t> </w:t>
      </w:r>
      <w:r>
        <w:rPr>
          <w:rFonts w:ascii="Times New Roman" w:hAnsi="Times New Roman"/>
          <w:b w:val="false"/>
          <w:i/>
          <w:color w:val="000000"/>
          <w:sz w:val="22"/>
        </w:rPr>
        <w:t xml:space="preserve">Scheduling or procedural matters.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30">
        <w:r>
          <w:rPr>
            <w:rStyle w:val="Hyperlink"/>
            <w:rFonts w:ascii="Times New Roman" w:hAnsi="Times New Roman"/>
            <w:b w:val="false"/>
            <w:i w:val="false"/>
            <w:color w:val="000000"/>
            <w:sz w:val="22"/>
          </w:rPr>
          <w:t>rule 185—10.17(17A)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10.23(8)</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presiding officer.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10.23(9)</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1">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division. Violation of ex parte communication prohibitions by division personnel shall be reported to the administrator or the administrator’s designee for possible sanctions including censure, suspension, dismissal, or other disciplinary action.</w:t>
      </w:r>
    </w:p>
    <w:p>
      <w:pPr>
        <w:spacing w:before="0" w:after="0"/>
        <w:ind w:left="120"/>
        <w:jc w:val="both"/>
      </w:pPr>
      <w:r>
        <w:rPr>
          <w:rFonts w:ascii="Times New Roman" w:hAnsi="Times New Roman"/>
          <w:b/>
          <w:i w:val="false"/>
          <w:color w:val="000000"/>
          <w:sz w:val="22"/>
        </w:rPr>
        <w:t>185—10.24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division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185—10.25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the administrator’s own motion, the administrator may review an interlocutory order of the presiding officer. In determining whether to do so, the administrator shall weigh the extent to which its granting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185—10.26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Administrator’s final decision. </w:t>
      </w:r>
      <w:r>
        <w:rPr>
          <w:rFonts w:ascii="Times New Roman" w:hAnsi="Times New Roman"/>
          <w:b w:val="false"/>
          <w:i w:val="false"/>
          <w:color w:val="000000"/>
          <w:sz w:val="22"/>
        </w:rPr>
        <w:t>When the administrator presides over the reception of evidence at the hearing, the administrator’s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When the administrator does not preside at the reception of evidence, the presiding officer shall make a proposed decision. The proposed decision becomes the final decision of the agency without further proceedings unless there is an appeal to, or review on motion of, the administrator within the time provided in </w:t>
      </w:r>
      <w:hyperlink r:id="rId32">
        <w:r>
          <w:rPr>
            <w:rStyle w:val="Hyperlink"/>
            <w:rFonts w:ascii="Times New Roman" w:hAnsi="Times New Roman"/>
            <w:b w:val="false"/>
            <w:i w:val="false"/>
            <w:color w:val="000000"/>
            <w:sz w:val="22"/>
          </w:rPr>
          <w:t>rule 185—10.27(17A)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185—10.27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administrator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administrator may initiate review of a proposed decision on the administrator’s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division.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administrator may remand a case to the presiding officer for further hearing or the administrator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administrator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30 days of the notice of appeal or order for review, each appealing party may file exceptions and briefs. Within 30 days thereafter, any party may file a responsive brief. Briefs shall cite any applicable legal authority and specify relevant portions of the record in that proceeding. Written requests to present oral argument shall be filed with the briefs. The administrator may resolve the appeal on the briefs or provide an opportunity for oral argument. The administrator may shorten or extend the briefing period as appropriate.</w:t>
      </w:r>
    </w:p>
    <w:p>
      <w:pPr>
        <w:spacing w:before="0" w:after="0"/>
        <w:ind w:left="120"/>
        <w:jc w:val="both"/>
      </w:pPr>
      <w:r>
        <w:rPr>
          <w:rFonts w:ascii="Times New Roman" w:hAnsi="Times New Roman"/>
          <w:b/>
          <w:i w:val="false"/>
          <w:color w:val="000000"/>
          <w:sz w:val="22"/>
        </w:rPr>
        <w:t>185—10.28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w:t>
      </w:r>
      <w:hyperlink r:id="rId33">
        <w:r>
          <w:rPr>
            <w:rStyle w:val="Hyperlink"/>
            <w:rFonts w:ascii="Times New Roman" w:hAnsi="Times New Roman"/>
            <w:b w:val="false"/>
            <w:i w:val="false"/>
            <w:color w:val="000000"/>
            <w:sz w:val="22"/>
          </w:rPr>
          <w:t>subrule 10.27(4)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division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division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ind w:left="120"/>
        <w:jc w:val="both"/>
      </w:pPr>
      <w:r>
        <w:rPr>
          <w:rFonts w:ascii="Times New Roman" w:hAnsi="Times New Roman"/>
          <w:b/>
          <w:i w:val="false"/>
          <w:color w:val="000000"/>
          <w:sz w:val="22"/>
        </w:rPr>
        <w:t>185—10.29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Agency appeal. Any party to a contested case proceeding may petition the division for a stay of an order issued in that proceeding or for other temporary remedies, pending review by the division. The petition shall be filed with the notice of appeal and shall state the reasons justifying a stay or other temporary remedy. The administrator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Stay or temporary remedy. Any party to a contested case proceeding may petition the division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In determining whether to grant a stay, the administrator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relief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grant of relief to the applicant will substantially harm other parties to the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agency is sufficient to justify the agency’s action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division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185—10.30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of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185—10.31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 written order in compliance with Iowa Code section </w:t>
      </w:r>
      <w:hyperlink r:id="rId3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agency by emergency adjudicative order. Before issuing an emergency adjudicative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division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Contents. An emergency adjudicative order shall contain findings of fact, conclusions of law, and policy reasons to justify the determination of an immediate danger in the division’s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Delivery. 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185—10.32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A party to a controversy that may culminate or has culminated in contested case proceedings may attempt informal settlement by complying with the procedures set forth in this rule. No party shall be required to settle the controversy or contested case by submitting to informal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Parties desiring informal settlement shall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administrator or the administrator’s designee,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A proposed settlement which is not accepted or signed by the parties and the administrator or the administrator’s designee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10/20/75, Notice 9/8/75—published 11/3/75, effective 12/9/75]</w:t>
      </w:r>
    </w:p>
    <w:p>
      <w:pPr>
        <w:spacing w:before="0" w:after="0"/>
        <w:ind w:left="120"/>
        <w:jc w:val="center"/>
      </w:pPr>
      <w:r>
        <w:rPr>
          <w:rFonts w:ascii="Times New Roman" w:hAnsi="Times New Roman"/>
          <w:b w:val="false"/>
          <w:i w:val="false"/>
          <w:color w:val="000000"/>
          <w:sz w:val="21"/>
        </w:rPr>
        <w:t>[Filed 2/16/79, Notice 12/27/79—published 3/7/79, effective 4/16/79]</w:t>
      </w:r>
    </w:p>
    <w:p>
      <w:pPr>
        <w:spacing w:before="0" w:after="0"/>
        <w:ind w:left="120"/>
        <w:jc w:val="center"/>
      </w:pPr>
      <w:r>
        <w:rPr>
          <w:rFonts w:ascii="Times New Roman" w:hAnsi="Times New Roman"/>
          <w:b w:val="false"/>
          <w:i w:val="false"/>
          <w:color w:val="000000"/>
          <w:sz w:val="21"/>
        </w:rPr>
        <w:t>[Filed without Notice 7/6/79—published 7/25/79, effective 8/29/79]</w:t>
      </w:r>
    </w:p>
    <w:p>
      <w:pPr>
        <w:spacing w:before="0" w:after="0"/>
        <w:ind w:left="120"/>
        <w:jc w:val="center"/>
      </w:pPr>
      <w:r>
        <w:rPr>
          <w:rFonts w:ascii="Times New Roman" w:hAnsi="Times New Roman"/>
          <w:b w:val="false"/>
          <w:i w:val="false"/>
          <w:color w:val="000000"/>
          <w:sz w:val="21"/>
        </w:rPr>
        <w:t>[Filed 8/15/80, Notice 5/28/80—published 9/3/80, effective 10/8/80]</w:t>
      </w:r>
    </w:p>
    <w:p>
      <w:pPr>
        <w:spacing w:before="0" w:after="0"/>
        <w:ind w:left="120"/>
        <w:jc w:val="center"/>
      </w:pPr>
      <w:r>
        <w:rPr>
          <w:rFonts w:ascii="Times New Roman" w:hAnsi="Times New Roman"/>
          <w:b w:val="false"/>
          <w:i w:val="false"/>
          <w:color w:val="000000"/>
          <w:sz w:val="21"/>
        </w:rPr>
        <w:t>[Filed emergency 5/19/82—published 6/9/82, effective 5/19/82]</w:t>
      </w:r>
    </w:p>
    <w:p>
      <w:pPr>
        <w:spacing w:before="0" w:after="0"/>
        <w:ind w:left="120"/>
        <w:jc w:val="center"/>
      </w:pPr>
      <w:r>
        <w:rPr>
          <w:rFonts w:ascii="Times New Roman" w:hAnsi="Times New Roman"/>
          <w:b w:val="false"/>
          <w:i w:val="false"/>
          <w:color w:val="000000"/>
          <w:sz w:val="21"/>
        </w:rPr>
        <w:t>[Filed 5/3/85, Notice 2/13/85—published 5/22/85, effective 6/26/85]</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10/10/85, Notice 7/31/85—published 11/6/85, effective 12/11/85]</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7/29/93—published 8/18/93, effective 7/29/93]</w:t>
      </w:r>
    </w:p>
    <w:p>
      <w:pPr>
        <w:spacing w:before="0" w:after="0"/>
        <w:ind w:left="120"/>
        <w:jc w:val="center"/>
      </w:pPr>
      <w:r>
        <w:rPr>
          <w:rFonts w:ascii="Times New Roman" w:hAnsi="Times New Roman"/>
          <w:b w:val="false"/>
          <w:i w:val="false"/>
          <w:color w:val="000000"/>
          <w:sz w:val="21"/>
        </w:rPr>
        <w:t>[Filed 10/20/93, Notice 8/18/93—published 11/10/93, effective 12/15/93]</w:t>
      </w:r>
    </w:p>
    <w:p>
      <w:pPr>
        <w:spacing w:before="0" w:after="0"/>
        <w:ind w:left="120"/>
        <w:jc w:val="center"/>
      </w:pPr>
      <w:r>
        <w:rPr>
          <w:rFonts w:ascii="Times New Roman" w:hAnsi="Times New Roman"/>
          <w:b w:val="false"/>
          <w:i w:val="false"/>
          <w:color w:val="000000"/>
          <w:sz w:val="21"/>
        </w:rPr>
        <w:t>[Filed 9/26/94, Notice 6/22/94—published 10/26/94, effective 11/30/94]</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ARC 5392C</w:t>
      </w:r>
      <w:r>
        <w:rPr>
          <w:rFonts w:ascii="Times New Roman" w:hAnsi="Times New Roman"/>
          <w:b w:val="false"/>
          <w:i w:val="false"/>
          <w:color w:val="000000"/>
          <w:sz w:val="21"/>
        </w:rPr>
        <w:t xml:space="preserve"> (Notice ARC 5242C, IAB 11/4/20)</w:t>
      </w:r>
      <w:r>
        <w:rPr>
          <w:rFonts w:ascii="Times New Roman" w:hAnsi="Times New Roman"/>
          <w:b w:val="false"/>
          <w:i w:val="false"/>
          <w:color w:val="000000"/>
          <w:sz w:val="21"/>
        </w:rPr>
        <w:t>, IAB 1/13/21, effective 2/17/21]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123.3.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123.pdf" Type="http://schemas.openxmlformats.org/officeDocument/2006/relationships/hyperlink" Id="rId9"/>
    <Relationship TargetMode="External" Target="https://www.legis.iowa.gov/docs/ico/chapter/123.32.pdf" Type="http://schemas.openxmlformats.org/officeDocument/2006/relationships/hyperlink" Id="rId10"/>
    <Relationship TargetMode="External" Target="https://www.legis.iowa.gov/docs/ico/chapter/123.39.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185.10.10.pdf" Type="http://schemas.openxmlformats.org/officeDocument/2006/relationships/hyperlink" Id="rId13"/>
    <Relationship TargetMode="External" Target="https://www.legis.iowa.gov/docs/iac/rule/185.10.23.pdf" Type="http://schemas.openxmlformats.org/officeDocument/2006/relationships/hyperlink" Id="rId14"/>
    <Relationship TargetMode="External" Target="https://www.legis.iowa.gov/docs/iac/rule/185.10.10.pdf" Type="http://schemas.openxmlformats.org/officeDocument/2006/relationships/hyperlink" Id="rId15"/>
    <Relationship TargetMode="External" Target="https://www.legis.iowa.gov/docs/ico/chapter/17A.17.pdf" Type="http://schemas.openxmlformats.org/officeDocument/2006/relationships/hyperlink" Id="rId16"/>
    <Relationship TargetMode="External" Target="https://www.legis.iowa.gov/docs/iac/rule/185.10.25.pdf" Type="http://schemas.openxmlformats.org/officeDocument/2006/relationships/hyperlink" Id="rId17"/>
    <Relationship TargetMode="External" Target="https://www.legis.iowa.gov/docs/iac/rule/185.10.29.pdf" Type="http://schemas.openxmlformats.org/officeDocument/2006/relationships/hyperlink" Id="rId18"/>
    <Relationship TargetMode="External" Target="https://www.legis.iowa.gov/docs/ico/chapter/123.pdf" Type="http://schemas.openxmlformats.org/officeDocument/2006/relationships/hyperlink" Id="rId19"/>
    <Relationship TargetMode="External" Target="https://www.legis.iowa.gov/docs/ico/chapter/17A.16.pdf" Type="http://schemas.openxmlformats.org/officeDocument/2006/relationships/hyperlink" Id="rId20"/>
    <Relationship TargetMode="External" Target="https://www.legis.iowa.gov/docs/iac/rule/185.10.13.pdf" Type="http://schemas.openxmlformats.org/officeDocument/2006/relationships/hyperlink" Id="rId21"/>
    <Relationship TargetMode="External" Target="https://www.legis.iowa.gov/docs/iac/rule/185.10.28.pdf" Type="http://schemas.openxmlformats.org/officeDocument/2006/relationships/hyperlink" Id="rId22"/>
    <Relationship TargetMode="External" Target="https://www.legis.iowa.gov/docs/iac/rule/185.10.27.pdf" Type="http://schemas.openxmlformats.org/officeDocument/2006/relationships/hyperlink" Id="rId23"/>
    <Relationship TargetMode="External" Target="https://www.legis.iowa.gov/docs/iac/rule/185.10.27.pdf" Type="http://schemas.openxmlformats.org/officeDocument/2006/relationships/hyperlink" Id="rId24"/>
    <Relationship TargetMode="External" Target="https://www.legis.iowa.gov/docs/iac/rule/185.10.25.pdf" Type="http://schemas.openxmlformats.org/officeDocument/2006/relationships/hyperlink" Id="rId25"/>
    <Relationship TargetMode="External" Target="https://www.legis.iowa.gov/docs/iac/rule/185.10.29.pdf" Type="http://schemas.openxmlformats.org/officeDocument/2006/relationships/hyperlink" Id="rId26"/>
    <Relationship TargetMode="External" Target="https://www.legis.iowa.gov/docs/iac/rule/185.10.10.pdf" Type="http://schemas.openxmlformats.org/officeDocument/2006/relationships/hyperlink" Id="rId27"/>
    <Relationship TargetMode="External" Target="https://www.legis.iowa.gov/docs/iac/rule/185.10.13.pdf" Type="http://schemas.openxmlformats.org/officeDocument/2006/relationships/hyperlink" Id="rId28"/>
    <Relationship TargetMode="External" Target="https://www.legis.iowa.gov/docs/iac/rule/185.10.23.pdf" Type="http://schemas.openxmlformats.org/officeDocument/2006/relationships/hyperlink" Id="rId29"/>
    <Relationship TargetMode="External" Target="https://www.legis.iowa.gov/docs/iac/rule/185.10.17.pdf" Type="http://schemas.openxmlformats.org/officeDocument/2006/relationships/hyperlink" Id="rId30"/>
    <Relationship TargetMode="External" Target="https://www.legis.iowa.gov/docs/ico/chapter/17A.13.pdf" Type="http://schemas.openxmlformats.org/officeDocument/2006/relationships/hyperlink" Id="rId31"/>
    <Relationship TargetMode="External" Target="https://www.legis.iowa.gov/docs/iac/rule/185.10.27.pdf" Type="http://schemas.openxmlformats.org/officeDocument/2006/relationships/hyperlink" Id="rId32"/>
    <Relationship TargetMode="External" Target="https://www.legis.iowa.gov/docs/iac/rule/185.10.27.pdf" Type="http://schemas.openxmlformats.org/officeDocument/2006/relationships/hyperlink" Id="rId33"/>
    <Relationship TargetMode="External" Target="https://www.legis.iowa.gov/docs/ico/chapter/17A.18.pdf" Type="http://schemas.openxmlformats.org/officeDocument/2006/relationships/hyperlink" Id="rId34"/>
    <Relationship TargetMode="External" Target="https://www.legis.iowa.gov/docs/ico/chapter/17A.10.pdf" Type="http://schemas.openxmlformats.org/officeDocument/2006/relationships/hyperlink" Id="rId35"/>
    <Relationship TargetMode="External" Target="https://www.legis.iowa.gov/docs/ico/chapter/17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