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10/8/86, Beer and Liquor Control Department[150]]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185—1.1</w:t>
      </w:r>
      <w:r>
        <w:rPr>
          <w:rFonts w:ascii="Times New Roman" w:hAnsi="Times New Roman"/>
          <w:b/>
          <w:i w:val="false"/>
          <w:color w:val="000000"/>
          <w:sz w:val="22"/>
        </w:rPr>
        <w:t xml:space="preserve">(123,17A)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organization and operation of the alcoholic beverages division, including the offices where and the means by which any interested person may obtain information and make submittals or requests.</w:t>
      </w:r>
    </w:p>
    <w:p>
      <w:pPr>
        <w:spacing w:before="0" w:after="0"/>
        <w:ind w:left="120"/>
        <w:jc w:val="both"/>
      </w:pPr>
      <w:r>
        <w:rPr>
          <w:rFonts w:ascii="Times New Roman" w:hAnsi="Times New Roman"/>
          <w:b/>
          <w:i w:val="false"/>
          <w:color w:val="000000"/>
          <w:sz w:val="22"/>
        </w:rPr>
        <w:t>185—1.2</w:t>
      </w:r>
      <w:r>
        <w:rPr>
          <w:rFonts w:ascii="Times New Roman" w:hAnsi="Times New Roman"/>
          <w:b/>
          <w:i w:val="false"/>
          <w:color w:val="000000"/>
          <w:sz w:val="22"/>
        </w:rPr>
        <w:t xml:space="preserve">(123,17A) </w:t>
      </w:r>
      <w:r>
        <w:rPr>
          <w:rFonts w:ascii="Times New Roman" w:hAnsi="Times New Roman"/>
          <w:b/>
          <w:i w:val="false"/>
          <w:color w:val="000000"/>
          <w:sz w:val="22"/>
        </w:rPr>
        <w:t xml:space="preserve">Scope and rules. </w:t>
      </w:r>
      <w:r>
        <w:rPr>
          <w:rFonts w:ascii="Times New Roman" w:hAnsi="Times New Roman"/>
          <w:b w:val="false"/>
          <w:i w:val="false"/>
          <w:color w:val="000000"/>
          <w:sz w:val="22"/>
        </w:rPr>
        <w:t xml:space="preserve">Promulgated under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these rules shall apply to all matters before the alcoholic beverages division. No rule shall in any way relieve a certificate of compliance holder, manufacturer, native distiller, vintner, brewer, wholesaler, alcohol carrier, wine direct shipper, retail alcohol licensee or wine permittee or beer permittee, or an agent or employee thereof from any duty under the laws of this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7073C</w:t>
      </w:r>
      <w:r>
        <w:rPr>
          <w:rFonts w:ascii="Times New Roman" w:hAnsi="Times New Roman"/>
          <w:b w:val="false"/>
          <w:i w:val="false"/>
          <w:color w:val="000000"/>
          <w:sz w:val="16"/>
        </w:rPr>
        <w:t>, IAB 9/20/23, effective 10/25/23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185—1.3</w:t>
      </w:r>
      <w:r>
        <w:rPr>
          <w:rFonts w:ascii="Times New Roman" w:hAnsi="Times New Roman"/>
          <w:b/>
          <w:i w:val="false"/>
          <w:color w:val="000000"/>
          <w:sz w:val="22"/>
        </w:rPr>
        <w:t xml:space="preserve">(123,17A) </w:t>
      </w:r>
      <w:r>
        <w:rPr>
          <w:rFonts w:ascii="Times New Roman" w:hAnsi="Times New Roman"/>
          <w:b/>
          <w:i w:val="false"/>
          <w:color w:val="000000"/>
          <w:sz w:val="22"/>
        </w:rPr>
        <w:t xml:space="preserve">Duties of the division. </w:t>
      </w:r>
      <w:r>
        <w:rPr>
          <w:rFonts w:ascii="Times New Roman" w:hAnsi="Times New Roman"/>
          <w:b w:val="false"/>
          <w:i w:val="false"/>
          <w:color w:val="000000"/>
          <w:sz w:val="22"/>
        </w:rPr>
        <w:t>The alcoholic beverages division administers the laws of this state concerning alcoholic liquor, wine, and beer. The division is vested with the sole and exclusive control within the state of Iowa both as purchaser and vendor of all alcoholic liquor sold by distilleries within the state or imported therein, except wine and beer, except as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185—1.4</w:t>
      </w:r>
      <w:r>
        <w:rPr>
          <w:rFonts w:ascii="Times New Roman" w:hAnsi="Times New Roman"/>
          <w:b/>
          <w:i w:val="false"/>
          <w:color w:val="000000"/>
          <w:sz w:val="22"/>
        </w:rPr>
        <w:t xml:space="preserve">(123,17A)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The alcoholic beverages division consists of five commission members appointed by the governor and confirmed by the senate. The commission acts as a policy-making body and serves in an advisory capacity to the administrator. A quorum shall consist of at least three commission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 Administrator. </w:t>
      </w:r>
      <w:r>
        <w:rPr>
          <w:rFonts w:ascii="Times New Roman" w:hAnsi="Times New Roman"/>
          <w:b w:val="false"/>
          <w:i w:val="false"/>
          <w:color w:val="000000"/>
          <w:sz w:val="22"/>
        </w:rPr>
        <w:t xml:space="preserve">Subject to senate confirmation, the governor appoints an administrator who conducts the daily operations of the division as prescribed by Iowa Code chapter </w:t>
      </w:r>
      <w:hyperlink r:id="rId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123.5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123.6</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123.9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185—1.5</w:t>
      </w:r>
      <w:r>
        <w:rPr>
          <w:rFonts w:ascii="Times New Roman" w:hAnsi="Times New Roman"/>
          <w:b/>
          <w:i w:val="false"/>
          <w:color w:val="000000"/>
          <w:sz w:val="22"/>
        </w:rPr>
        <w:t xml:space="preserve">(123,17A) </w:t>
      </w:r>
      <w:r>
        <w:rPr>
          <w:rFonts w:ascii="Times New Roman" w:hAnsi="Times New Roman"/>
          <w:b/>
          <w:i w:val="false"/>
          <w:color w:val="000000"/>
          <w:sz w:val="22"/>
        </w:rPr>
        <w:t xml:space="preserve">Central offices. </w:t>
      </w:r>
      <w:r>
        <w:rPr>
          <w:rFonts w:ascii="Times New Roman" w:hAnsi="Times New Roman"/>
          <w:b w:val="false"/>
          <w:i w:val="false"/>
          <w:color w:val="000000"/>
          <w:sz w:val="22"/>
        </w:rPr>
        <w:t>The central office is located at 1918 S.E. Hulsizer Road, Ankeny, Iowa 50021; telephone (515)281-7400 or 1-866-469-2223. The central office is responsible for the operational support of the division and is the principal custodian of all divisional orders, statements of law or policy issued by the division, and other public documents on file with the division.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w:t>
      </w:r>
      <w:r>
        <w:rPr>
          <w:rFonts w:ascii="Times New Roman" w:hAnsi="Times New Roman"/>
          <w:b/>
          <w:i w:val="false"/>
          <w:color w:val="000000"/>
          <w:sz w:val="22"/>
        </w:rPr>
        <w:t xml:space="preserve">(123,17A) </w:t>
      </w:r>
      <w:r>
        <w:rPr>
          <w:rFonts w:ascii="Times New Roman" w:hAnsi="Times New Roman"/>
          <w:b/>
          <w:i w:val="false"/>
          <w:color w:val="000000"/>
          <w:sz w:val="22"/>
        </w:rPr>
        <w:t xml:space="preserve">Matters applicable to all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All communications to the division shall be addressed to the Alcoholic Beverages Division, 1918 S.E. Hulsizer Road, Ankeny, Iowa 50021, unless otherwise directed. Bids, complaints, pleadings, or other papers required to be filed with the division shall be filed in the office of the administrator within the time limit, if any, for such filing. Unless otherwise provided, all communications and documents are officially filed upon receipt at the office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Offices are closed on Saturdays, Sundays, and official state holidays designated in accordance with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Any interested person may examine all public records of the division including the decisions, orders, rules, opinions, and other statements of law or policy issued by the division in the discharge of its function. These documents may be examined in the offices of the division during regular business hours or on the website of the division located at </w:t>
      </w:r>
      <w:hyperlink r:id="rId14">
        <w:r>
          <w:rPr>
            <w:rStyle w:val="Hyperlink"/>
            <w:rFonts w:ascii="Times New Roman" w:hAnsi="Times New Roman"/>
            <w:b w:val="false"/>
            <w:i w:val="false"/>
            <w:color w:val="000000"/>
            <w:sz w:val="22"/>
            <w:u w:val="single"/>
          </w:rPr>
          <w:t>www.IowaABD.com</w:t>
        </w:r>
      </w:hyperlink>
      <w:r>
        <w:rPr>
          <w:rFonts w:ascii="Times New Roman" w:hAnsi="Times New Roman"/>
          <w:b w:val="false"/>
          <w:i w:val="false"/>
          <w:color w:val="000000"/>
          <w:sz w:val="22"/>
        </w:rPr>
        <w:t>. Unless otherwise provided by law, all information contained therein shall be made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123.5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123.6</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123.9</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12/14/72]</w:t>
      </w:r>
    </w:p>
    <w:p>
      <w:pPr>
        <w:spacing w:before="0" w:after="0"/>
        <w:ind w:left="120"/>
        <w:jc w:val="center"/>
      </w:pPr>
      <w:r>
        <w:rPr>
          <w:rFonts w:ascii="Times New Roman" w:hAnsi="Times New Roman"/>
          <w:b w:val="false"/>
          <w:i w:val="false"/>
          <w:color w:val="000000"/>
          <w:sz w:val="21"/>
        </w:rPr>
        <w:t>[Filed 10/20/75, Notice 9/8/75—published 11/3/75, effective 12/9/75]</w:t>
      </w:r>
    </w:p>
    <w:p>
      <w:pPr>
        <w:spacing w:before="0" w:after="0"/>
        <w:ind w:left="120"/>
        <w:jc w:val="center"/>
      </w:pPr>
      <w:r>
        <w:rPr>
          <w:rFonts w:ascii="Times New Roman" w:hAnsi="Times New Roman"/>
          <w:b w:val="false"/>
          <w:i w:val="false"/>
          <w:color w:val="000000"/>
          <w:sz w:val="21"/>
        </w:rPr>
        <w:t>[Filed 2/16/79, Notice 12/27/78—published 3/7/79, effective 4/16/79]</w:t>
      </w:r>
    </w:p>
    <w:p>
      <w:pPr>
        <w:spacing w:before="0" w:after="0"/>
        <w:ind w:left="120"/>
        <w:jc w:val="center"/>
      </w:pPr>
      <w:r>
        <w:rPr>
          <w:rFonts w:ascii="Times New Roman" w:hAnsi="Times New Roman"/>
          <w:b w:val="false"/>
          <w:i w:val="false"/>
          <w:color w:val="000000"/>
          <w:sz w:val="21"/>
        </w:rPr>
        <w:t>[Filed without Notice 7/6/79—published 7/25/79, effective 8/29/79]</w:t>
      </w:r>
    </w:p>
    <w:p>
      <w:pPr>
        <w:spacing w:before="0" w:after="0"/>
        <w:ind w:left="120"/>
        <w:jc w:val="center"/>
      </w:pPr>
      <w:r>
        <w:rPr>
          <w:rFonts w:ascii="Times New Roman" w:hAnsi="Times New Roman"/>
          <w:b w:val="false"/>
          <w:i w:val="false"/>
          <w:color w:val="000000"/>
          <w:sz w:val="21"/>
        </w:rPr>
        <w:t>[Filed emergency 5/19/82—published 6/9/82, effective 5/19/82]</w:t>
      </w:r>
    </w:p>
    <w:p>
      <w:pPr>
        <w:spacing w:before="0" w:after="0"/>
        <w:ind w:left="120"/>
        <w:jc w:val="center"/>
      </w:pPr>
      <w:r>
        <w:rPr>
          <w:rFonts w:ascii="Times New Roman" w:hAnsi="Times New Roman"/>
          <w:b w:val="false"/>
          <w:i w:val="false"/>
          <w:color w:val="000000"/>
          <w:sz w:val="21"/>
        </w:rPr>
        <w:t>[Filed emergency 10/10/85—published 11/6/85, effective 10/10/85]</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[Editorially transferred from [150] to [185], IAC Supp. 10/8/86;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7/29/93—published 8/18/93, effective 7/29/93]</w:t>
      </w:r>
    </w:p>
    <w:p>
      <w:pPr>
        <w:spacing w:before="0" w:after="0"/>
        <w:ind w:left="120"/>
        <w:jc w:val="center"/>
      </w:pPr>
      <w:r>
        <w:rPr>
          <w:rFonts w:ascii="Times New Roman" w:hAnsi="Times New Roman"/>
          <w:b w:val="false"/>
          <w:i w:val="false"/>
          <w:color w:val="000000"/>
          <w:sz w:val="21"/>
        </w:rPr>
        <w:t>[Filed 10/20/93, Notice 8/18/93—published 11/10/93, effective 12/15/93]</w:t>
      </w:r>
    </w:p>
    <w:p>
      <w:pPr>
        <w:spacing w:before="0" w:after="0"/>
        <w:ind w:left="120"/>
        <w:jc w:val="center"/>
      </w:pPr>
      <w:r>
        <w:rPr>
          <w:rFonts w:ascii="Times New Roman" w:hAnsi="Times New Roman"/>
          <w:b w:val="false"/>
          <w:i w:val="false"/>
          <w:color w:val="000000"/>
          <w:sz w:val="21"/>
        </w:rPr>
        <w:t>[Filed 3/29/01, Notice 2/21/01—published 4/18/01, effective 5/23/01]</w:t>
      </w:r>
    </w:p>
    <w:p>
      <w:pPr>
        <w:spacing w:before="0" w:after="0"/>
        <w:ind w:left="120"/>
        <w:jc w:val="center"/>
      </w:pPr>
      <w:r>
        <w:rPr>
          <w:rFonts w:ascii="Times New Roman" w:hAnsi="Times New Roman"/>
          <w:b w:val="false"/>
          <w:i w:val="false"/>
          <w:color w:val="000000"/>
          <w:sz w:val="21"/>
        </w:rPr>
        <w:t>[Filed ARC 0273C</w:t>
      </w:r>
      <w:r>
        <w:rPr>
          <w:rFonts w:ascii="Times New Roman" w:hAnsi="Times New Roman"/>
          <w:b w:val="false"/>
          <w:i w:val="false"/>
          <w:color w:val="000000"/>
          <w:sz w:val="21"/>
        </w:rPr>
        <w:t xml:space="preserve"> (Notice ARC 0142C,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7073C</w:t>
      </w:r>
      <w:r>
        <w:rPr>
          <w:rFonts w:ascii="Times New Roman" w:hAnsi="Times New Roman"/>
          <w:b w:val="false"/>
          <w:i w:val="false"/>
          <w:color w:val="000000"/>
          <w:sz w:val="21"/>
        </w:rPr>
        <w:t xml:space="preserve"> (Notice ARC 7049C, IAB 7/26/23)</w:t>
      </w:r>
      <w:r>
        <w:rPr>
          <w:rFonts w:ascii="Times New Roman" w:hAnsi="Times New Roman"/>
          <w:b w:val="false"/>
          <w:i w:val="false"/>
          <w:color w:val="000000"/>
          <w:sz w:val="21"/>
        </w:rPr>
        <w:t>, IAB 9/20/23, effective 10/25/23]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23.pdf" Type="http://schemas.openxmlformats.org/officeDocument/2006/relationships/hyperlink" Id="rId6"/>
    <Relationship TargetMode="External" Target="https://www.legis.iowa.gov/docs/ico/chapter/123.4.pdf" Type="http://schemas.openxmlformats.org/officeDocument/2006/relationships/hyperlink" Id="rId7"/>
    <Relationship TargetMode="External" Target="https://www.legis.iowa.gov/docs/ico/chapter/123.pdf" Type="http://schemas.openxmlformats.org/officeDocument/2006/relationships/hyperlink" Id="rId8"/>
    <Relationship TargetMode="External" Target="https://www.legis.iowa.gov/docs/ico/chapter/123.5.pdf" Type="http://schemas.openxmlformats.org/officeDocument/2006/relationships/hyperlink" Id="rId9"/>
    <Relationship TargetMode="External" Target="https://www.legis.iowa.gov/docs/ico/chapter/123.6.pdf" Type="http://schemas.openxmlformats.org/officeDocument/2006/relationships/hyperlink" Id="rId10"/>
    <Relationship TargetMode="External" Target="https://www.legis.iowa.gov/docs/ico/chapter/123.9.pdf" Type="http://schemas.openxmlformats.org/officeDocument/2006/relationships/hyperlink" Id="rId11"/>
    <Relationship TargetMode="External" Target="https://www.legis.iowa.gov/docs/ico/chapter/123.10.pdf" Type="http://schemas.openxmlformats.org/officeDocument/2006/relationships/hyperlink" Id="rId12"/>
    <Relationship TargetMode="External" Target="https://www.legis.iowa.gov/docs/ico/chapter/123.4.pdf" Type="http://schemas.openxmlformats.org/officeDocument/2006/relationships/hyperlink" Id="rId13"/>
    <Relationship TargetMode="External" Target="http://www.IowaABD.com" Type="http://schemas.openxmlformats.org/officeDocument/2006/relationships/hyperlink" Id="rId14"/>
    <Relationship TargetMode="External" Target="https://www.legis.iowa.gov/docs/ico/chapter/123.4.pdf" Type="http://schemas.openxmlformats.org/officeDocument/2006/relationships/hyperlink" Id="rId15"/>
    <Relationship TargetMode="External" Target="https://www.legis.iowa.gov/docs/ico/chapter/123.5.pdf" Type="http://schemas.openxmlformats.org/officeDocument/2006/relationships/hyperlink" Id="rId16"/>
    <Relationship TargetMode="External" Target="https://www.legis.iowa.gov/docs/ico/chapter/123.6.pdf" Type="http://schemas.openxmlformats.org/officeDocument/2006/relationships/hyperlink" Id="rId17"/>
    <Relationship TargetMode="External" Target="https://www.legis.iowa.gov/docs/ico/chapter/123.9.pdf" Type="http://schemas.openxmlformats.org/officeDocument/2006/relationships/hyperlink" Id="rId18"/>
    <Relationship TargetMode="External" Target="https://www.legis.iowa.gov/docs/ico/chapter/123.10.pdf" Type="http://schemas.openxmlformats.org/officeDocument/2006/relationships/hyperlink" Id="rId19"/>
    <Relationship TargetMode="External" Target="https://www.legis.iowa.gov/docs/ico/chapter/17A.3.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