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DEPARTMENT FISCAL OPERATIONS</w:t>
      </w:r>
    </w:p>
    <w:p>
      <w:pPr>
        <w:spacing w:before="0" w:after="0"/>
        <w:ind w:left="120"/>
        <w:jc w:val="center"/>
      </w:pPr>
      <w:r>
        <w:rPr>
          <w:rFonts w:ascii="Times New Roman" w:hAnsi="Times New Roman"/>
          <w:b w:val="false"/>
          <w:i w:val="false"/>
          <w:color w:val="000000"/>
          <w:sz w:val="14"/>
        </w:rPr>
        <w:t>[Prior to 5/20/87, see Aging, Commission on the [20], rule 4.9 and Ch 9]</w:t>
      </w:r>
    </w:p>
    <w:p>
      <w:pPr>
        <w:spacing w:before="0" w:after="0"/>
        <w:ind w:left="120"/>
        <w:jc w:val="center"/>
      </w:pPr>
      <w:r>
        <w:rPr>
          <w:rFonts w:ascii="Times New Roman" w:hAnsi="Times New Roman"/>
          <w:b w:val="false"/>
          <w:i w:val="false"/>
          <w:color w:val="000000"/>
          <w:sz w:val="14"/>
        </w:rPr>
        <w:t>[Prior to 1/27/10, see Elder Affairs Department[321]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17—5.1</w:t>
      </w:r>
      <w:r>
        <w:rPr>
          <w:rFonts w:ascii="Times New Roman" w:hAnsi="Times New Roman"/>
          <w:b/>
          <w:i w:val="false"/>
          <w:color w:val="000000"/>
          <w:sz w:val="22"/>
        </w:rPr>
        <w:t xml:space="preserve">(231) </w:t>
      </w:r>
      <w:r>
        <w:rPr>
          <w:rFonts w:ascii="Times New Roman" w:hAnsi="Times New Roman"/>
          <w:b/>
          <w:i w:val="false"/>
          <w:color w:val="000000"/>
          <w:sz w:val="22"/>
        </w:rPr>
        <w:t xml:space="preserve">Funds to area agencies on aging.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w:t>
      </w:r>
      <w:r>
        <w:rPr>
          <w:rFonts w:ascii="Times New Roman" w:hAnsi="Times New Roman"/>
          <w:b w:val="false"/>
          <w:i w:val="false"/>
          <w:color w:val="000000"/>
          <w:sz w:val="22"/>
        </w:rPr>
        <w:t> </w:t>
      </w:r>
      <w:r>
        <w:rPr>
          <w:rFonts w:ascii="Times New Roman" w:hAnsi="Times New Roman"/>
          <w:b w:val="false"/>
          <w:i w:val="false"/>
          <w:color w:val="000000"/>
          <w:sz w:val="22"/>
        </w:rPr>
        <w:t>The department shall distribute funds to each area agency on aging pursuant to federal and state laws,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w:t>
      </w:r>
      <w:r>
        <w:rPr>
          <w:rFonts w:ascii="Times New Roman" w:hAnsi="Times New Roman"/>
          <w:b w:val="false"/>
          <w:i w:val="false"/>
          <w:color w:val="000000"/>
          <w:sz w:val="22"/>
        </w:rPr>
        <w:t> </w:t>
      </w:r>
      <w:r>
        <w:rPr>
          <w:rFonts w:ascii="Times New Roman" w:hAnsi="Times New Roman"/>
          <w:b w:val="false"/>
          <w:i w:val="false"/>
          <w:color w:val="000000"/>
          <w:sz w:val="22"/>
        </w:rPr>
        <w:t>The area agencies on aging shall use funds distributed by the department for the designated purpose and pursuant to federal and state laws, rules,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0743C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17—5.2</w:t>
      </w:r>
      <w:r>
        <w:rPr>
          <w:rFonts w:ascii="Times New Roman" w:hAnsi="Times New Roman"/>
          <w:b/>
          <w:i w:val="false"/>
          <w:color w:val="000000"/>
          <w:sz w:val="22"/>
        </w:rPr>
        <w:t xml:space="preserve">(231) </w:t>
      </w:r>
      <w:r>
        <w:rPr>
          <w:rFonts w:ascii="Times New Roman" w:hAnsi="Times New Roman"/>
          <w:b/>
          <w:i w:val="false"/>
          <w:color w:val="000000"/>
          <w:sz w:val="22"/>
        </w:rPr>
        <w:t xml:space="preserve">Distribution of Older Americans Act funds to area agencies on aging. </w:t>
      </w:r>
      <w:r>
        <w:rPr>
          <w:rFonts w:ascii="Times New Roman" w:hAnsi="Times New Roman"/>
          <w:b w:val="false"/>
          <w:i w:val="false"/>
          <w:color w:val="000000"/>
          <w:sz w:val="22"/>
        </w:rPr>
        <w:t>On and after July 1, 2013,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the formula for distribution within the state of funds received under the Older Americans Act and required to be distributed by funding formula every four years, at a minimum. The department, in its discretion, shall determine whether to maintain the existing formula or develop a new formula based on the criteria outlined in the Older Americans Act and on other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comply with all federal and state laws, rules, and regulations in developing a formula for distribution within the state of funds received under the Older Americans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adhere to the following process to develop and adopt a formula for distribution within the state of funds received under the Older Americans Act: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hold a minimum of one meeting with area agencies on aging to facilitate discussion and receive comment regarding the proposed formula for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publish the proposed formula for distribution for review and comment by posting the information on the department’s Web site. The publication shall comply with all criteria outlined in the Older Americans Act. The publication shall be posted on the department’s Web site for a minimum of 30 calendar days prior to the date set for commission consideration of the proposed formula for distribution. The publication shall provide the method and time frame for acceptance of public comment.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distribute a press release containing the proposed funding formula to all newspapers within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published pursuant to paragraph </w:t>
      </w:r>
      <w:hyperlink r:id="rId5">
        <w:r>
          <w:rPr>
            <w:rStyle w:val="Hyperlink"/>
            <w:rFonts w:ascii="Times New Roman" w:hAnsi="Times New Roman"/>
            <w:b w:val="false"/>
            <w:i w:val="false"/>
            <w:color w:val="000000"/>
            <w:sz w:val="22"/>
          </w:rPr>
          <w:t>5.2(3)</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be mailed, via standard postal delivery or electronic mail, to the executive director and board chairperson of each area agency on aging a minimum of 30 calendar days prior to the date set for commission action to approve the formula for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accept written public comment in response to publication of the proposed formula for a minimum of 14 calendar days following publication. The method and time frame for acceptance of public comment shall be provided in the information published pursuant to paragraphs </w:t>
      </w:r>
      <w:hyperlink r:id="rId6">
        <w:r>
          <w:rPr>
            <w:rStyle w:val="Hyperlink"/>
            <w:rFonts w:ascii="Times New Roman" w:hAnsi="Times New Roman"/>
            <w:b w:val="false"/>
            <w:i w:val="false"/>
            <w:color w:val="000000"/>
            <w:sz w:val="22"/>
          </w:rPr>
          <w:t>5.2(3)</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shall submit the proposed formula for distribution to the Assistant Secretary of the U.S. Department of Health and Human Services for approval pursuant to the Older Americans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all public comments received and provide a summary for the commission’s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department shall submit to the commission for consideration a proposed formula to distribute funds within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may, in its discretion, approve or disapprove the department’s proposed formula for distribution of funds within the state. If the commission disapproves the department’s proposed formula, the department shall develop an alternate formula for distribution of funds within the state after following all procedures provided in rule </w:t>
      </w:r>
      <w:hyperlink r:id="rId7">
        <w:r>
          <w:rPr>
            <w:rStyle w:val="Hyperlink"/>
            <w:rFonts w:ascii="Times New Roman" w:hAnsi="Times New Roman"/>
            <w:b w:val="false"/>
            <w:i w:val="false"/>
            <w:color w:val="000000"/>
            <w:sz w:val="22"/>
          </w:rPr>
          <w:t>17—5.2</w:t>
        </w:r>
      </w:hyperlink>
      <w:r>
        <w:rPr>
          <w:rFonts w:ascii="Times New Roman" w:hAnsi="Times New Roman"/>
          <w:b w:val="false"/>
          <w:i w:val="false"/>
          <w:color w:val="000000"/>
          <w:sz w:val="22"/>
        </w:rPr>
        <w:t>(231).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commission’s final decision shall be posted on the department’s Web site, </w:t>
      </w:r>
      <w:hyperlink r:id="rId8">
        <w:r>
          <w:rPr>
            <w:rStyle w:val="Hyperlink"/>
            <w:rFonts w:ascii="Times New Roman" w:hAnsi="Times New Roman"/>
            <w:b w:val="false"/>
            <w:i w:val="false"/>
            <w:color w:val="000000"/>
            <w:sz w:val="22"/>
            <w:u w:val="single"/>
          </w:rPr>
          <w:t>www.aging.iowa.gov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department shall distribute federal funds proportionately based on a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w:t>
      </w:r>
      <w:r>
        <w:rPr>
          <w:rFonts w:ascii="Times New Roman" w:hAnsi="Times New Roman"/>
          <w:b w:val="false"/>
          <w:i w:val="false"/>
          <w:color w:val="000000"/>
          <w:sz w:val="22"/>
        </w:rPr>
        <w:t> </w:t>
      </w:r>
      <w:r>
        <w:rPr>
          <w:rFonts w:ascii="Times New Roman" w:hAnsi="Times New Roman"/>
          <w:b w:val="false"/>
          <w:i w:val="false"/>
          <w:color w:val="000000"/>
          <w:sz w:val="22"/>
        </w:rPr>
        <w:t>NSIP. Each area agency on aging shall receive a portion of the NSIP allotment to the department based on the proportion of an area agency on aging’s eligible meals related to the total of NSIP-eligible meals for all area agencies on aging.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0743C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17—5.3</w:t>
      </w:r>
      <w:r>
        <w:rPr>
          <w:rFonts w:ascii="Times New Roman" w:hAnsi="Times New Roman"/>
          <w:b/>
          <w:i w:val="false"/>
          <w:color w:val="000000"/>
          <w:sz w:val="22"/>
        </w:rPr>
        <w:t xml:space="preserve">(231) </w:t>
      </w:r>
      <w:r>
        <w:rPr>
          <w:rFonts w:ascii="Times New Roman" w:hAnsi="Times New Roman"/>
          <w:b/>
          <w:i w:val="false"/>
          <w:color w:val="000000"/>
          <w:sz w:val="22"/>
        </w:rPr>
        <w:t xml:space="preserve">Distribution of state funds. </w:t>
      </w:r>
      <w:r>
        <w:rPr>
          <w:rFonts w:ascii="Times New Roman" w:hAnsi="Times New Roman"/>
          <w:b w:val="false"/>
          <w:i w:val="false"/>
          <w:color w:val="000000"/>
          <w:sz w:val="22"/>
        </w:rPr>
        <w:t>On and after July 1, 2013,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the formula for distribution within the state of funds received from state appropriations every four years, at a minimum. The department, in its discretion, shall determine whether to maintain the existing formula or develop a new formula based on the criteria outlined in the Older Americans Act and other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comply with all federal and state laws, rules, and regulations in developing a formula for distribution within the state of funds received from state appropriations.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adhere to the following process to develop and adopt a formula for distribution within the state of funds received from state appropriations: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hold a minimum of one meeting with area agencies on aging to facilitate discussion and receive comment regarding the proposed formula for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publish the proposed formula for distribution for review and comment by posting the information on the department’s Web site. The publication shall comply with all criteria outlined in the Older Americans Act and state law. The publication shall be posted on the department’s Web site for a minimum of 30 calendar days prior to the date set for commission action to approve the proposed formula for distribution. The publication shall provide the method and time frame for acceptance of public comment.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distribute a press release containing the proposed funding formula to all newspapers within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published pursuant to paragraph </w:t>
      </w:r>
      <w:hyperlink r:id="rId9">
        <w:r>
          <w:rPr>
            <w:rStyle w:val="Hyperlink"/>
            <w:rFonts w:ascii="Times New Roman" w:hAnsi="Times New Roman"/>
            <w:b w:val="false"/>
            <w:i w:val="false"/>
            <w:color w:val="000000"/>
            <w:sz w:val="22"/>
          </w:rPr>
          <w:t>5.3(3)</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be mailed, via standard postal delivery or electronic mail, to the executive director and board chairperson of each area agency on aging a minimum of 30 calendar days prior to the date set for commission action to approve the formula for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accept written public comment in response to publication of the proposed formula for a minimum of 14 calendar days following publication. The method and time frame for acceptance of public comment shall be provided in the information published pursuant to paragraphs </w:t>
      </w:r>
      <w:hyperlink r:id="rId10">
        <w:r>
          <w:rPr>
            <w:rStyle w:val="Hyperlink"/>
            <w:rFonts w:ascii="Times New Roman" w:hAnsi="Times New Roman"/>
            <w:b w:val="false"/>
            <w:i w:val="false"/>
            <w:color w:val="000000"/>
            <w:sz w:val="22"/>
          </w:rPr>
          <w:t>5.3(3)</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all public comments received and provide a summary for the commission’s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shall submit to the commission for consideration a proposed formula to distribute funds within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may, in its discretion, approve or disapprove the department’s proposed formula for distribution of funds within the state. If the commission disapproves the department’s proposed formula, the department shall develop an alternate formula for distribution of funds within the state after following all procedures provided in rule </w:t>
      </w:r>
      <w:hyperlink r:id="rId12">
        <w:r>
          <w:rPr>
            <w:rStyle w:val="Hyperlink"/>
            <w:rFonts w:ascii="Times New Roman" w:hAnsi="Times New Roman"/>
            <w:b w:val="false"/>
            <w:i w:val="false"/>
            <w:color w:val="000000"/>
            <w:sz w:val="22"/>
          </w:rPr>
          <w:t>17—5.3</w:t>
        </w:r>
      </w:hyperlink>
      <w:r>
        <w:rPr>
          <w:rFonts w:ascii="Times New Roman" w:hAnsi="Times New Roman"/>
          <w:b w:val="false"/>
          <w:i w:val="false"/>
          <w:color w:val="000000"/>
          <w:sz w:val="22"/>
        </w:rPr>
        <w:t>(231).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commission’s final decision shall be posted on the department’s Web site, </w:t>
      </w:r>
      <w:hyperlink r:id="rId13">
        <w:r>
          <w:rPr>
            <w:rStyle w:val="Hyperlink"/>
            <w:rFonts w:ascii="Times New Roman" w:hAnsi="Times New Roman"/>
            <w:b w:val="false"/>
            <w:i w:val="false"/>
            <w:color w:val="000000"/>
            <w:sz w:val="22"/>
            <w:u w:val="single"/>
          </w:rPr>
          <w:t>www.aging.iowa.gov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0743C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17—5.4</w:t>
      </w:r>
      <w:r>
        <w:rPr>
          <w:rFonts w:ascii="Times New Roman" w:hAnsi="Times New Roman"/>
          <w:b/>
          <w:i w:val="false"/>
          <w:color w:val="000000"/>
          <w:sz w:val="22"/>
        </w:rPr>
        <w:t xml:space="preserve">(231) </w:t>
      </w:r>
      <w:r>
        <w:rPr>
          <w:rFonts w:ascii="Times New Roman" w:hAnsi="Times New Roman"/>
          <w:b/>
          <w:i w:val="false"/>
          <w:color w:val="000000"/>
          <w:sz w:val="22"/>
        </w:rPr>
        <w:t xml:space="preserve">Posting of formulas for distribution. </w:t>
      </w:r>
      <w:r>
        <w:rPr>
          <w:rFonts w:ascii="Times New Roman" w:hAnsi="Times New Roman"/>
          <w:b w:val="false"/>
          <w:i w:val="false"/>
          <w:color w:val="000000"/>
          <w:sz w:val="22"/>
        </w:rPr>
        <w:t xml:space="preserve">The department shall maintain a posting of the current formulas used for distribution of state or federal funds on the department’s Web site, </w:t>
      </w:r>
      <w:hyperlink r:id="rId14">
        <w:r>
          <w:rPr>
            <w:rStyle w:val="Hyperlink"/>
            <w:rFonts w:ascii="Times New Roman" w:hAnsi="Times New Roman"/>
            <w:b w:val="false"/>
            <w:i w:val="false"/>
            <w:color w:val="000000"/>
            <w:sz w:val="22"/>
            <w:u w:val="single"/>
          </w:rPr>
          <w:t>www.aging.iowa.gov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0743C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17—5.5</w:t>
      </w:r>
      <w:r>
        <w:rPr>
          <w:rFonts w:ascii="Times New Roman" w:hAnsi="Times New Roman"/>
          <w:b/>
          <w:i w:val="false"/>
          <w:color w:val="000000"/>
          <w:sz w:val="22"/>
        </w:rPr>
        <w:t xml:space="preserve">(231) </w:t>
      </w:r>
      <w:r>
        <w:rPr>
          <w:rFonts w:ascii="Times New Roman" w:hAnsi="Times New Roman"/>
          <w:b/>
          <w:i w:val="false"/>
          <w:color w:val="000000"/>
          <w:sz w:val="22"/>
        </w:rPr>
        <w:t xml:space="preserve">Priority service expenditures. </w:t>
      </w:r>
      <w:r>
        <w:rPr>
          <w:rFonts w:ascii="Times New Roman" w:hAnsi="Times New Roman"/>
          <w:b w:val="false"/>
          <w:i w:val="false"/>
          <w:color w:val="000000"/>
          <w:sz w:val="22"/>
        </w:rPr>
        <w:t xml:space="preserve">Each area agency on aging shall expend a specified minimum percentage of Older Americans Act Title III-B funds, less administration costs, for priority services. The minimum percentage to be expended on priority services shall be established by the commission and posted on the department’s Web site, </w:t>
      </w:r>
      <w:hyperlink r:id="rId15">
        <w:r>
          <w:rPr>
            <w:rStyle w:val="Hyperlink"/>
            <w:rFonts w:ascii="Times New Roman" w:hAnsi="Times New Roman"/>
            <w:b w:val="false"/>
            <w:i w:val="false"/>
            <w:color w:val="000000"/>
            <w:sz w:val="22"/>
            <w:u w:val="single"/>
          </w:rPr>
          <w:t>www.aging.iowa.gov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0743C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17—5.6</w:t>
      </w:r>
      <w:r>
        <w:rPr>
          <w:rFonts w:ascii="Times New Roman" w:hAnsi="Times New Roman"/>
          <w:b/>
          <w:i w:val="false"/>
          <w:color w:val="000000"/>
          <w:sz w:val="22"/>
        </w:rPr>
        <w:t xml:space="preserve">(231) </w:t>
      </w:r>
      <w:r>
        <w:rPr>
          <w:rFonts w:ascii="Times New Roman" w:hAnsi="Times New Roman"/>
          <w:b/>
          <w:i w:val="false"/>
          <w:color w:val="000000"/>
          <w:sz w:val="22"/>
        </w:rPr>
        <w:t xml:space="preserve">Match requirements for Older Americans Act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w:t>
      </w:r>
      <w:r>
        <w:rPr>
          <w:rFonts w:ascii="Times New Roman" w:hAnsi="Times New Roman"/>
          <w:b w:val="false"/>
          <w:i w:val="false"/>
          <w:color w:val="000000"/>
          <w:sz w:val="22"/>
        </w:rPr>
        <w:t> </w:t>
      </w:r>
      <w:r>
        <w:rPr>
          <w:rFonts w:ascii="Times New Roman" w:hAnsi="Times New Roman"/>
          <w:b w:val="false"/>
          <w:i w:val="false"/>
          <w:color w:val="000000"/>
          <w:sz w:val="22"/>
        </w:rPr>
        <w:t>Area agencies on aging shall comply with all match requirements established by and outlined in the Older Americans Act and federal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w:t>
      </w:r>
      <w:r>
        <w:rPr>
          <w:rFonts w:ascii="Times New Roman" w:hAnsi="Times New Roman"/>
          <w:b w:val="false"/>
          <w:i w:val="false"/>
          <w:color w:val="000000"/>
          <w:sz w:val="22"/>
        </w:rPr>
        <w:t> </w:t>
      </w:r>
      <w:r>
        <w:rPr>
          <w:rFonts w:ascii="Times New Roman" w:hAnsi="Times New Roman"/>
          <w:b w:val="false"/>
          <w:i w:val="false"/>
          <w:color w:val="000000"/>
          <w:sz w:val="22"/>
        </w:rPr>
        <w:t xml:space="preserve">Older Americans Act match requirements shall be met with the use of nonfederal sources, as defined by the Older Americans Act. The match used to meet Older Americans Act requirements shall be separate and independent of the match used to meet the state match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area agency on aging fails to appropriately match Older Americans Act funds pursuant to the match requirements of the Older Americans Act, the department may take any action necessary to correct the deficiency, including but not limited to the remedies provided in rule </w:t>
      </w:r>
      <w:hyperlink r:id="rId16">
        <w:r>
          <w:rPr>
            <w:rStyle w:val="Hyperlink"/>
            <w:rFonts w:ascii="Times New Roman" w:hAnsi="Times New Roman"/>
            <w:b w:val="false"/>
            <w:i w:val="false"/>
            <w:color w:val="000000"/>
            <w:sz w:val="22"/>
          </w:rPr>
          <w:t>17—5.14</w:t>
        </w:r>
      </w:hyperlink>
      <w:r>
        <w:rPr>
          <w:rFonts w:ascii="Times New Roman" w:hAnsi="Times New Roman"/>
          <w:b w:val="false"/>
          <w:i w:val="false"/>
          <w:color w:val="000000"/>
          <w:sz w:val="22"/>
        </w:rPr>
        <w:t>(231).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0743C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17—5.7</w:t>
      </w:r>
      <w:r>
        <w:rPr>
          <w:rFonts w:ascii="Times New Roman" w:hAnsi="Times New Roman"/>
          <w:b/>
          <w:i w:val="false"/>
          <w:color w:val="000000"/>
          <w:sz w:val="22"/>
        </w:rPr>
        <w:t xml:space="preserve">(231) </w:t>
      </w:r>
      <w:r>
        <w:rPr>
          <w:rFonts w:ascii="Times New Roman" w:hAnsi="Times New Roman"/>
          <w:b/>
          <w:i w:val="false"/>
          <w:color w:val="000000"/>
          <w:sz w:val="22"/>
        </w:rPr>
        <w:t xml:space="preserve">Match requirements for state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w:t>
      </w:r>
      <w:r>
        <w:rPr>
          <w:rFonts w:ascii="Times New Roman" w:hAnsi="Times New Roman"/>
          <w:b w:val="false"/>
          <w:i w:val="false"/>
          <w:color w:val="000000"/>
          <w:sz w:val="22"/>
        </w:rPr>
        <w:t> </w:t>
      </w:r>
      <w:r>
        <w:rPr>
          <w:rFonts w:ascii="Times New Roman" w:hAnsi="Times New Roman"/>
          <w:b w:val="false"/>
          <w:i w:val="false"/>
          <w:color w:val="000000"/>
          <w:sz w:val="22"/>
        </w:rPr>
        <w:t>Area agencies on aging shall comply with all match requirements mandated by federal and state laws,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w:t>
      </w:r>
      <w:r>
        <w:rPr>
          <w:rFonts w:ascii="Times New Roman" w:hAnsi="Times New Roman"/>
          <w:b w:val="false"/>
          <w:i w:val="false"/>
          <w:color w:val="000000"/>
          <w:sz w:val="22"/>
        </w:rPr>
        <w:t> </w:t>
      </w:r>
      <w:r>
        <w:rPr>
          <w:rFonts w:ascii="Times New Roman" w:hAnsi="Times New Roman"/>
          <w:b w:val="false"/>
          <w:i w:val="false"/>
          <w:color w:val="000000"/>
          <w:sz w:val="22"/>
        </w:rPr>
        <w:t>The match requirement for state funds of $15 for every $85 of state funds distributed shall be met with the use of local sources. The local sources used to meet state match requirements shall be separate and independent of the match used to meet the Older Americans Act match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area agency on aging fails to appropriately match state funds pursuant to the match requirements established in state law and rule, the department may take any action necessary to correct the deficiency, including but not limited to the remedies provided in rule </w:t>
      </w:r>
      <w:hyperlink r:id="rId17">
        <w:r>
          <w:rPr>
            <w:rStyle w:val="Hyperlink"/>
            <w:rFonts w:ascii="Times New Roman" w:hAnsi="Times New Roman"/>
            <w:b w:val="false"/>
            <w:i w:val="false"/>
            <w:color w:val="000000"/>
            <w:sz w:val="22"/>
          </w:rPr>
          <w:t>17—5.14</w:t>
        </w:r>
      </w:hyperlink>
      <w:r>
        <w:rPr>
          <w:rFonts w:ascii="Times New Roman" w:hAnsi="Times New Roman"/>
          <w:b w:val="false"/>
          <w:i w:val="false"/>
          <w:color w:val="000000"/>
          <w:sz w:val="22"/>
        </w:rPr>
        <w:t>(231).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0743C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17—5.8</w:t>
      </w:r>
      <w:r>
        <w:rPr>
          <w:rFonts w:ascii="Times New Roman" w:hAnsi="Times New Roman"/>
          <w:b/>
          <w:i w:val="false"/>
          <w:color w:val="000000"/>
          <w:sz w:val="22"/>
        </w:rPr>
        <w:t xml:space="preserve">(231) </w:t>
      </w:r>
      <w:r>
        <w:rPr>
          <w:rFonts w:ascii="Times New Roman" w:hAnsi="Times New Roman"/>
          <w:b/>
          <w:i w:val="false"/>
          <w:color w:val="000000"/>
          <w:sz w:val="22"/>
        </w:rPr>
        <w:t xml:space="preserve">Contributions. </w:t>
      </w:r>
      <w:r>
        <w:rPr>
          <w:rFonts w:ascii="Times New Roman" w:hAnsi="Times New Roman"/>
          <w:b w:val="false"/>
          <w:i w:val="false"/>
          <w:color w:val="000000"/>
          <w:sz w:val="22"/>
        </w:rPr>
        <w:t>Each area agency on aging shall be allowed to receive voluntary contributions in compliance with federal and state laws, rules,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0743C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17—5.9</w:t>
      </w:r>
      <w:r>
        <w:rPr>
          <w:rFonts w:ascii="Times New Roman" w:hAnsi="Times New Roman"/>
          <w:b/>
          <w:i w:val="false"/>
          <w:color w:val="000000"/>
          <w:sz w:val="22"/>
        </w:rPr>
        <w:t xml:space="preserve">(231) </w:t>
      </w:r>
      <w:r>
        <w:rPr>
          <w:rFonts w:ascii="Times New Roman" w:hAnsi="Times New Roman"/>
          <w:b/>
          <w:i w:val="false"/>
          <w:color w:val="000000"/>
          <w:sz w:val="22"/>
        </w:rPr>
        <w:t xml:space="preserve">General 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w:t>
      </w:r>
      <w:r>
        <w:rPr>
          <w:rFonts w:ascii="Times New Roman" w:hAnsi="Times New Roman"/>
          <w:b w:val="false"/>
          <w:i w:val="false"/>
          <w:color w:val="000000"/>
          <w:sz w:val="22"/>
        </w:rPr>
        <w:t> </w:t>
      </w:r>
      <w:r>
        <w:rPr>
          <w:rFonts w:ascii="Times New Roman" w:hAnsi="Times New Roman"/>
          <w:b w:val="false"/>
          <w:i w:val="false"/>
          <w:color w:val="000000"/>
          <w:sz w:val="22"/>
        </w:rPr>
        <w:t>Each area agency on aging shall submit program and financial reports to comply with federal and state program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w:t>
      </w:r>
      <w:r>
        <w:rPr>
          <w:rFonts w:ascii="Times New Roman" w:hAnsi="Times New Roman"/>
          <w:b w:val="false"/>
          <w:i w:val="false"/>
          <w:color w:val="000000"/>
          <w:sz w:val="22"/>
        </w:rPr>
        <w:t> </w:t>
      </w:r>
      <w:r>
        <w:rPr>
          <w:rFonts w:ascii="Times New Roman" w:hAnsi="Times New Roman"/>
          <w:b w:val="false"/>
          <w:i w:val="false"/>
          <w:color w:val="000000"/>
          <w:sz w:val="22"/>
        </w:rPr>
        <w:t>Each area agency on aging shall be responsible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Gathering accurate information necessary to complete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Completing reports on forms or in a format prescribed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Submitting reports or data to the department on or before due dates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w:t>
      </w:r>
      <w:r>
        <w:rPr>
          <w:rFonts w:ascii="Times New Roman" w:hAnsi="Times New Roman"/>
          <w:b w:val="false"/>
          <w:i w:val="false"/>
          <w:color w:val="000000"/>
          <w:sz w:val="22"/>
        </w:rPr>
        <w:t> </w:t>
      </w:r>
      <w:r>
        <w:rPr>
          <w:rFonts w:ascii="Times New Roman" w:hAnsi="Times New Roman"/>
          <w:b w:val="false"/>
          <w:i w:val="false"/>
          <w:color w:val="000000"/>
          <w:sz w:val="22"/>
        </w:rPr>
        <w:t>Each area agency on aging shall be solely responsible for obtaining and reporting necessary information from subgrantees, contractors and subcontractors.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submit complete and accurate program or financial reports by the established due dates, even if waiver is granted, may subject the area agency on aging to remedies provided in rule </w:t>
      </w:r>
      <w:hyperlink r:id="rId18">
        <w:r>
          <w:rPr>
            <w:rStyle w:val="Hyperlink"/>
            <w:rFonts w:ascii="Times New Roman" w:hAnsi="Times New Roman"/>
            <w:b w:val="false"/>
            <w:i w:val="false"/>
            <w:color w:val="000000"/>
            <w:sz w:val="22"/>
          </w:rPr>
          <w:t>17—5.14</w:t>
        </w:r>
      </w:hyperlink>
      <w:r>
        <w:rPr>
          <w:rFonts w:ascii="Times New Roman" w:hAnsi="Times New Roman"/>
          <w:b w:val="false"/>
          <w:i w:val="false"/>
          <w:color w:val="000000"/>
          <w:sz w:val="22"/>
        </w:rPr>
        <w:t>(231).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0743C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i w:val="false"/>
          <w:color w:val="000000"/>
          <w:sz w:val="16"/>
        </w:rPr>
        <w:t>ARC 1533C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17—5.10</w:t>
      </w:r>
      <w:r>
        <w:rPr>
          <w:rFonts w:ascii="Times New Roman" w:hAnsi="Times New Roman"/>
          <w:b/>
          <w:i w:val="false"/>
          <w:color w:val="000000"/>
          <w:sz w:val="22"/>
        </w:rPr>
        <w:t xml:space="preserve">(231) </w:t>
      </w:r>
      <w:r>
        <w:rPr>
          <w:rFonts w:ascii="Times New Roman" w:hAnsi="Times New Roman"/>
          <w:b/>
          <w:i w:val="false"/>
          <w:color w:val="000000"/>
          <w:sz w:val="22"/>
        </w:rPr>
        <w:t xml:space="preserve">Redistribution.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5.10(1)</w:t>
      </w:r>
      <w:r>
        <w:rPr>
          <w:rFonts w:ascii="Times New Roman" w:hAnsi="Times New Roman"/>
          <w:b w:val="false"/>
          <w:i w:val="false"/>
          <w:color w:val="000000"/>
          <w:sz w:val="22"/>
        </w:rPr>
        <w:t> </w:t>
      </w:r>
      <w:r>
        <w:rPr>
          <w:rFonts w:ascii="Times New Roman" w:hAnsi="Times New Roman"/>
          <w:b w:val="false"/>
          <w:i/>
          <w:color w:val="000000"/>
          <w:sz w:val="22"/>
        </w:rPr>
        <w:t xml:space="preserve">Redistribution of federal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Funds distributed pursuant to the Older Americans Act which are not expended for goods or services or both to be provided by the last day of the award period shall be available to the department for redistribution unless a written application for carryover is approved pursuant to paragraph </w:t>
      </w:r>
      <w:hyperlink r:id="rId19">
        <w:r>
          <w:rPr>
            <w:rStyle w:val="Hyperlink"/>
            <w:rFonts w:ascii="Times New Roman" w:hAnsi="Times New Roman"/>
            <w:b w:val="false"/>
            <w:i w:val="false"/>
            <w:color w:val="000000"/>
            <w:sz w:val="22"/>
          </w:rPr>
          <w:t>5.10(1)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Funds distributed pursuant to the Older Americans Act may be carried over upon department approval of a written application. The written application must be received by the department on or before the final report due date for that fiscal year. The written application must contain the amount of funds requested for carryover. The department, in its discretion, shall approve or deny the written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unexpended funds distributed for administration costs pursuant to the Older Americans Act, as shown in the department’s annual allotment tables, may be used only for program service expenditures in the subsequent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5.10(2)</w:t>
      </w:r>
      <w:r>
        <w:rPr>
          <w:rFonts w:ascii="Times New Roman" w:hAnsi="Times New Roman"/>
          <w:b w:val="false"/>
          <w:i w:val="false"/>
          <w:color w:val="000000"/>
          <w:sz w:val="22"/>
        </w:rPr>
        <w:t> </w:t>
      </w:r>
      <w:r>
        <w:rPr>
          <w:rFonts w:ascii="Times New Roman" w:hAnsi="Times New Roman"/>
          <w:b w:val="false"/>
          <w:i/>
          <w:color w:val="000000"/>
          <w:sz w:val="22"/>
        </w:rPr>
        <w:t xml:space="preserve">Redistribution of state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prior to the end of a fiscal year that an area agency on aging will not expend its state funds for goods or services or both to be provided by the last day of the fiscal year, the department may redistribute the funds to one or more area agencies on aging in accordance with demonstrated utilization or by a redistribution method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in its discretion, redistribute funds to one or more area agencies on aging based on expenditure estimates for that fiscal year. The department may redistribute funds as early as January of that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area agencies on aging receiving the redistributed funds shall expend them by the end of the fiscal year in which they are redistributed for goods or services or both to be provided by the last day of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5.10(3)</w:t>
      </w:r>
      <w:r>
        <w:rPr>
          <w:rFonts w:ascii="Times New Roman" w:hAnsi="Times New Roman"/>
          <w:b w:val="false"/>
          <w:i w:val="false"/>
          <w:color w:val="000000"/>
          <w:sz w:val="22"/>
        </w:rPr>
        <w:t> </w:t>
      </w:r>
      <w:r>
        <w:rPr>
          <w:rFonts w:ascii="Times New Roman" w:hAnsi="Times New Roman"/>
          <w:b w:val="false"/>
          <w:i/>
          <w:color w:val="000000"/>
          <w:sz w:val="22"/>
        </w:rPr>
        <w:t xml:space="preserve">Failure to expend federal or state funds. </w:t>
      </w:r>
      <w:r>
        <w:rPr>
          <w:rFonts w:ascii="Times New Roman" w:hAnsi="Times New Roman"/>
          <w:b w:val="false"/>
          <w:i w:val="false"/>
          <w:color w:val="000000"/>
          <w:sz w:val="22"/>
        </w:rPr>
        <w:t xml:space="preserve">Failure to expend federal or state funds in accordance with the area plan may subject the area agency on aging to remedies provided in rule </w:t>
      </w:r>
      <w:hyperlink r:id="rId20">
        <w:r>
          <w:rPr>
            <w:rStyle w:val="Hyperlink"/>
            <w:rFonts w:ascii="Times New Roman" w:hAnsi="Times New Roman"/>
            <w:b w:val="false"/>
            <w:i w:val="false"/>
            <w:color w:val="000000"/>
            <w:sz w:val="22"/>
          </w:rPr>
          <w:t>17—5.14</w:t>
        </w:r>
      </w:hyperlink>
      <w:r>
        <w:rPr>
          <w:rFonts w:ascii="Times New Roman" w:hAnsi="Times New Roman"/>
          <w:b w:val="false"/>
          <w:i w:val="false"/>
          <w:color w:val="000000"/>
          <w:sz w:val="22"/>
        </w:rPr>
        <w:t>(231).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0743C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i w:val="false"/>
          <w:color w:val="000000"/>
          <w:sz w:val="16"/>
        </w:rPr>
        <w:t>ARC 1533C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17—5.11</w:t>
      </w:r>
      <w:r>
        <w:rPr>
          <w:rFonts w:ascii="Times New Roman" w:hAnsi="Times New Roman"/>
          <w:b/>
          <w:i w:val="false"/>
          <w:color w:val="000000"/>
          <w:sz w:val="22"/>
        </w:rPr>
        <w:t xml:space="preserve">(231) </w:t>
      </w:r>
      <w:r>
        <w:rPr>
          <w:rFonts w:ascii="Times New Roman" w:hAnsi="Times New Roman"/>
          <w:b/>
          <w:i w:val="false"/>
          <w:color w:val="000000"/>
          <w:sz w:val="22"/>
        </w:rPr>
        <w:t xml:space="preserve">State reviews and audits.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w:t>
      </w:r>
      <w:r>
        <w:rPr>
          <w:rFonts w:ascii="Times New Roman" w:hAnsi="Times New Roman"/>
          <w:b w:val="false"/>
          <w:i w:val="false"/>
          <w:color w:val="000000"/>
          <w:sz w:val="22"/>
        </w:rPr>
        <w:t> </w:t>
      </w:r>
      <w:r>
        <w:rPr>
          <w:rFonts w:ascii="Times New Roman" w:hAnsi="Times New Roman"/>
          <w:b w:val="false"/>
          <w:i w:val="false"/>
          <w:color w:val="000000"/>
          <w:sz w:val="22"/>
        </w:rPr>
        <w:t>Each area agency on aging shall complete an annual audit report and submit the audit report to the department for review as directed in the guidelines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w:t>
      </w:r>
      <w:r>
        <w:rPr>
          <w:rFonts w:ascii="Times New Roman" w:hAnsi="Times New Roman"/>
          <w:b w:val="false"/>
          <w:i w:val="false"/>
          <w:color w:val="000000"/>
          <w:sz w:val="22"/>
        </w:rPr>
        <w:t> </w:t>
      </w:r>
      <w:r>
        <w:rPr>
          <w:rFonts w:ascii="Times New Roman" w:hAnsi="Times New Roman"/>
          <w:b w:val="false"/>
          <w:i w:val="false"/>
          <w:color w:val="000000"/>
          <w:sz w:val="22"/>
        </w:rPr>
        <w:t>The audit costs shall be negotiated and paid for by the grantee from the applicable grants.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provide the grantee with guidelines to be followed by the auditor.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fully comply with state review and audit requirements by the due dates, even if waiver is granted, may subject the area agency on aging to remedies provided in rule </w:t>
      </w:r>
      <w:hyperlink r:id="rId21">
        <w:r>
          <w:rPr>
            <w:rStyle w:val="Hyperlink"/>
            <w:rFonts w:ascii="Times New Roman" w:hAnsi="Times New Roman"/>
            <w:b w:val="false"/>
            <w:i w:val="false"/>
            <w:color w:val="000000"/>
            <w:sz w:val="22"/>
          </w:rPr>
          <w:t>17—5.14</w:t>
        </w:r>
      </w:hyperlink>
      <w:r>
        <w:rPr>
          <w:rFonts w:ascii="Times New Roman" w:hAnsi="Times New Roman"/>
          <w:b w:val="false"/>
          <w:i w:val="false"/>
          <w:color w:val="000000"/>
          <w:sz w:val="22"/>
        </w:rPr>
        <w:t>(231).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0743C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17—5.12</w:t>
      </w:r>
      <w:r>
        <w:rPr>
          <w:rFonts w:ascii="Times New Roman" w:hAnsi="Times New Roman"/>
          <w:b/>
          <w:i w:val="false"/>
          <w:color w:val="000000"/>
          <w:sz w:val="22"/>
        </w:rPr>
        <w:t xml:space="preserve">(231) </w:t>
      </w:r>
      <w:r>
        <w:rPr>
          <w:rFonts w:ascii="Times New Roman" w:hAnsi="Times New Roman"/>
          <w:b/>
          <w:i w:val="false"/>
          <w:color w:val="000000"/>
          <w:sz w:val="22"/>
        </w:rPr>
        <w:t xml:space="preserve">Acquisition of goods and services. </w:t>
      </w:r>
      <w:r>
        <w:rPr>
          <w:rFonts w:ascii="Times New Roman" w:hAnsi="Times New Roman"/>
          <w:b w:val="false"/>
          <w:i w:val="false"/>
          <w:color w:val="000000"/>
          <w:sz w:val="22"/>
        </w:rPr>
        <w:t>All area agency on aging acquisitions of goods and services shall be in compliance with state and federal laws, rules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0743C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17—5.13</w:t>
      </w:r>
      <w:r>
        <w:rPr>
          <w:rFonts w:ascii="Times New Roman" w:hAnsi="Times New Roman"/>
          <w:b/>
          <w:i w:val="false"/>
          <w:color w:val="000000"/>
          <w:sz w:val="22"/>
        </w:rPr>
        <w:t xml:space="preserve">(231) </w:t>
      </w:r>
      <w:r>
        <w:rPr>
          <w:rFonts w:ascii="Times New Roman" w:hAnsi="Times New Roman"/>
          <w:b/>
          <w:i w:val="false"/>
          <w:color w:val="000000"/>
          <w:sz w:val="22"/>
        </w:rPr>
        <w:t xml:space="preserve">Records—contract administration. </w:t>
      </w:r>
      <w:r>
        <w:rPr>
          <w:rFonts w:ascii="Times New Roman" w:hAnsi="Times New Roman"/>
          <w:b w:val="false"/>
          <w:i w:val="false"/>
          <w:color w:val="000000"/>
          <w:sz w:val="22"/>
        </w:rPr>
        <w:t>The department and each area agency on aging shall maintain records and reports for purchases and contracts that utilize state or federal funds. The records and reports shall be maintained pursuant to federal and state laws, rules,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0743C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17—5.14</w:t>
      </w:r>
      <w:r>
        <w:rPr>
          <w:rFonts w:ascii="Times New Roman" w:hAnsi="Times New Roman"/>
          <w:b/>
          <w:i w:val="false"/>
          <w:color w:val="000000"/>
          <w:sz w:val="22"/>
        </w:rPr>
        <w:t xml:space="preserve">(231) </w:t>
      </w:r>
      <w:r>
        <w:rPr>
          <w:rFonts w:ascii="Times New Roman" w:hAnsi="Times New Roman"/>
          <w:b/>
          <w:i w:val="false"/>
          <w:color w:val="000000"/>
          <w:sz w:val="22"/>
        </w:rPr>
        <w:t xml:space="preserve">Correction of deficiencies.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5.14(1)</w:t>
      </w:r>
      <w:r>
        <w:rPr>
          <w:rFonts w:ascii="Times New Roman" w:hAnsi="Times New Roman"/>
          <w:b w:val="false"/>
          <w:i w:val="false"/>
          <w:color w:val="000000"/>
          <w:sz w:val="22"/>
        </w:rPr>
        <w:t> </w:t>
      </w:r>
      <w:r>
        <w:rPr>
          <w:rFonts w:ascii="Times New Roman" w:hAnsi="Times New Roman"/>
          <w:b w:val="false"/>
          <w:i/>
          <w:color w:val="000000"/>
          <w:sz w:val="22"/>
        </w:rPr>
        <w:t xml:space="preserve">Remedies. </w:t>
      </w:r>
      <w:r>
        <w:rPr>
          <w:rFonts w:ascii="Times New Roman" w:hAnsi="Times New Roman"/>
          <w:b w:val="false"/>
          <w:i w:val="false"/>
          <w:color w:val="000000"/>
          <w:sz w:val="22"/>
        </w:rPr>
        <w:t>The purpose of remedies is to ensure prompt action is taken by an area agency on aging to correct deficiencies arising from failure to perform as identified by this rule. The department shall determine the remedies to be applied to the area agency on aging for failure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5.14(2)</w:t>
      </w:r>
      <w:r>
        <w:rPr>
          <w:rFonts w:ascii="Times New Roman" w:hAnsi="Times New Roman"/>
          <w:b w:val="false"/>
          <w:i w:val="false"/>
          <w:color w:val="000000"/>
          <w:sz w:val="22"/>
        </w:rPr>
        <w:t> </w:t>
      </w:r>
      <w:r>
        <w:rPr>
          <w:rFonts w:ascii="Times New Roman" w:hAnsi="Times New Roman"/>
          <w:b w:val="false"/>
          <w:i/>
          <w:color w:val="000000"/>
          <w:sz w:val="22"/>
        </w:rPr>
        <w:t xml:space="preserve">Number of remedies. </w:t>
      </w:r>
      <w:r>
        <w:rPr>
          <w:rFonts w:ascii="Times New Roman" w:hAnsi="Times New Roman"/>
          <w:b w:val="false"/>
          <w:i w:val="false"/>
          <w:color w:val="000000"/>
          <w:sz w:val="22"/>
        </w:rPr>
        <w:t>The department may apply one or more remedies for each deficiency constituting failure to perform or for all deficiencies constituting failure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5.14(3)</w:t>
      </w:r>
      <w:r>
        <w:rPr>
          <w:rFonts w:ascii="Times New Roman" w:hAnsi="Times New Roman"/>
          <w:b w:val="false"/>
          <w:i w:val="false"/>
          <w:color w:val="000000"/>
          <w:sz w:val="22"/>
        </w:rPr>
        <w:t> </w:t>
      </w:r>
      <w:r>
        <w:rPr>
          <w:rFonts w:ascii="Times New Roman" w:hAnsi="Times New Roman"/>
          <w:b w:val="false"/>
          <w:i/>
          <w:color w:val="000000"/>
          <w:sz w:val="22"/>
        </w:rPr>
        <w:t xml:space="preserve">Notification requirements. </w:t>
      </w:r>
      <w:r>
        <w:rPr>
          <w:rFonts w:ascii="Times New Roman" w:hAnsi="Times New Roman"/>
          <w:b w:val="false"/>
          <w:i w:val="false"/>
          <w:color w:val="000000"/>
          <w:sz w:val="22"/>
        </w:rPr>
        <w:t>The department shall give the area agency on aging written notice of remedy at least 15 calendar days before the effective date of the remedy. The written notice of remedy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failure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remedy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right to appeal the determination leading to the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5.14(4)</w:t>
      </w:r>
      <w:r>
        <w:rPr>
          <w:rFonts w:ascii="Times New Roman" w:hAnsi="Times New Roman"/>
          <w:b w:val="false"/>
          <w:i w:val="false"/>
          <w:color w:val="000000"/>
          <w:sz w:val="22"/>
        </w:rPr>
        <w:t> </w:t>
      </w:r>
      <w:r>
        <w:rPr>
          <w:rFonts w:ascii="Times New Roman" w:hAnsi="Times New Roman"/>
          <w:b w:val="false"/>
          <w:i/>
          <w:color w:val="000000"/>
          <w:sz w:val="22"/>
        </w:rPr>
        <w:t xml:space="preserve">Factors to be considered in selecting remedies.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select the appropriate remedy, the department shall determine the seriousness of the failure to perform. To determine the seriousness of the failure to perform, the department shall consider whether the area agency on aging’s failure(s)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isolated.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Constitutes a pattern.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broad in scope.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Creates a financial burden for the department, other area agencies on aging, or the aging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Creates an administrative burden for the department, other area agencies on aging, or the aging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selecting an appropriate remedy, the department may also consider the area agency on aging’s prior history of failure to perform in general and specifically with reference to the cited failure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5.14(5)</w:t>
      </w:r>
      <w:r>
        <w:rPr>
          <w:rFonts w:ascii="Times New Roman" w:hAnsi="Times New Roman"/>
          <w:b w:val="false"/>
          <w:i w:val="false"/>
          <w:color w:val="000000"/>
          <w:sz w:val="22"/>
        </w:rPr>
        <w:t> </w:t>
      </w:r>
      <w:r>
        <w:rPr>
          <w:rFonts w:ascii="Times New Roman" w:hAnsi="Times New Roman"/>
          <w:b w:val="false"/>
          <w:i/>
          <w:color w:val="000000"/>
          <w:sz w:val="22"/>
        </w:rPr>
        <w:t xml:space="preserve">Available remedies. </w:t>
      </w:r>
      <w:r>
        <w:rPr>
          <w:rFonts w:ascii="Times New Roman" w:hAnsi="Times New Roman"/>
          <w:b w:val="false"/>
          <w:i w:val="false"/>
          <w:color w:val="000000"/>
          <w:sz w:val="22"/>
        </w:rPr>
        <w:t>The department may select one or more of the following remedies with reference to a cited failure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Directed in-service training. </w:t>
      </w:r>
      <w:r>
        <w:rPr>
          <w:rFonts w:ascii="Times New Roman" w:hAnsi="Times New Roman"/>
          <w:b w:val="false"/>
          <w:i w:val="false"/>
          <w:color w:val="000000"/>
          <w:sz w:val="22"/>
        </w:rPr>
        <w:t>The department may require the staff of an area agency on aging to attend an in-service training program if education is likely to correct the failure to perform. The area agency on aging is responsible for the payment for the directed in-service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Department monitoring. </w:t>
      </w:r>
      <w:r>
        <w:rPr>
          <w:rFonts w:ascii="Times New Roman" w:hAnsi="Times New Roman"/>
          <w:b w:val="false"/>
          <w:i w:val="false"/>
          <w:color w:val="000000"/>
          <w:sz w:val="22"/>
        </w:rPr>
        <w:t>The department may require an area agency on aging to receive increased monitoring by the department. The frequency and duration of the monitoring is within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Directed plan of correction. </w:t>
      </w:r>
      <w:r>
        <w:rPr>
          <w:rFonts w:ascii="Times New Roman" w:hAnsi="Times New Roman"/>
          <w:b w:val="false"/>
          <w:i w:val="false"/>
          <w:color w:val="000000"/>
          <w:sz w:val="22"/>
        </w:rPr>
        <w:t>The department may develop a plan of correction and require an area agency on aging to take action within specified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Reduction of funding. </w:t>
      </w:r>
      <w:r>
        <w:rPr>
          <w:rFonts w:ascii="Times New Roman" w:hAnsi="Times New Roman"/>
          <w:b w:val="false"/>
          <w:i w:val="false"/>
          <w:color w:val="000000"/>
          <w:sz w:val="22"/>
        </w:rPr>
        <w:t>The department may reduce the amount of funding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Investigative audit. </w:t>
      </w:r>
      <w:r>
        <w:rPr>
          <w:rFonts w:ascii="Times New Roman" w:hAnsi="Times New Roman"/>
          <w:b w:val="false"/>
          <w:i w:val="false"/>
          <w:color w:val="000000"/>
          <w:sz w:val="22"/>
        </w:rPr>
        <w:t>The department may require an area agency on aging receive an investigative audit. The area agency on aging is responsible for the payment for this investigative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Other remedies. </w:t>
      </w:r>
      <w:r>
        <w:rPr>
          <w:rFonts w:ascii="Times New Roman" w:hAnsi="Times New Roman"/>
          <w:b w:val="false"/>
          <w:i w:val="false"/>
          <w:color w:val="000000"/>
          <w:sz w:val="22"/>
        </w:rPr>
        <w:t>The department may also impose other remedies,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Dedesignation. </w:t>
      </w:r>
      <w:r>
        <w:rPr>
          <w:rFonts w:ascii="Times New Roman" w:hAnsi="Times New Roman"/>
          <w:b w:val="false"/>
          <w:i w:val="false"/>
          <w:color w:val="000000"/>
          <w:sz w:val="22"/>
        </w:rPr>
        <w:t xml:space="preserve">The department may request dedesignation of an area agency on aging pursuant to rule </w:t>
      </w:r>
      <w:hyperlink r:id="rId22">
        <w:r>
          <w:rPr>
            <w:rStyle w:val="Hyperlink"/>
            <w:rFonts w:ascii="Times New Roman" w:hAnsi="Times New Roman"/>
            <w:b w:val="false"/>
            <w:i w:val="false"/>
            <w:color w:val="000000"/>
            <w:sz w:val="22"/>
          </w:rPr>
          <w:t>17—4.6</w:t>
        </w:r>
      </w:hyperlink>
      <w:r>
        <w:rPr>
          <w:rFonts w:ascii="Times New Roman" w:hAnsi="Times New Roman"/>
          <w:b w:val="false"/>
          <w:i w:val="false"/>
          <w:color w:val="000000"/>
          <w:sz w:val="22"/>
        </w:rPr>
        <w:t>(231).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5.14(6)</w:t>
      </w:r>
      <w:r>
        <w:rPr>
          <w:rFonts w:ascii="Times New Roman" w:hAnsi="Times New Roman"/>
          <w:b w:val="false"/>
          <w:i w:val="false"/>
          <w:color w:val="000000"/>
          <w:sz w:val="22"/>
        </w:rPr>
        <w:t> </w:t>
      </w:r>
      <w:r>
        <w:rPr>
          <w:rFonts w:ascii="Times New Roman" w:hAnsi="Times New Roman"/>
          <w:b w:val="false"/>
          <w:i/>
          <w:color w:val="000000"/>
          <w:sz w:val="22"/>
        </w:rPr>
        <w:t xml:space="preserve">Duration of remedies. </w:t>
      </w:r>
      <w:r>
        <w:rPr>
          <w:rFonts w:ascii="Times New Roman" w:hAnsi="Times New Roman"/>
          <w:b w:val="false"/>
          <w:i w:val="false"/>
          <w:color w:val="000000"/>
          <w:sz w:val="22"/>
        </w:rPr>
        <w:t>Remedies shall continue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area agency on aging has achieved substantial compliance as determined by the department or based upon a revisit or after an examination of credible written evidence that the department can verify without an on-site visit;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area agency on aging is dedesignated.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5.14(7)</w:t>
      </w:r>
      <w:r>
        <w:rPr>
          <w:rFonts w:ascii="Times New Roman" w:hAnsi="Times New Roman"/>
          <w:b w:val="false"/>
          <w:i w:val="false"/>
          <w:color w:val="000000"/>
          <w:sz w:val="22"/>
        </w:rPr>
        <w:t> </w:t>
      </w:r>
      <w:r>
        <w:rPr>
          <w:rFonts w:ascii="Times New Roman" w:hAnsi="Times New Roman"/>
          <w:b w:val="false"/>
          <w:i/>
          <w:color w:val="000000"/>
          <w:sz w:val="22"/>
        </w:rPr>
        <w:t xml:space="preserve">Mandatory plan of correction. </w:t>
      </w:r>
      <w:r>
        <w:rPr>
          <w:rFonts w:ascii="Times New Roman" w:hAnsi="Times New Roman"/>
          <w:b w:val="false"/>
          <w:i w:val="false"/>
          <w:color w:val="000000"/>
          <w:sz w:val="22"/>
        </w:rPr>
        <w:t xml:space="preserve">Each area agency on aging that has been cited for a failure to perform shall submit a plan of correction for approval by the department regardless of which remedies are applied.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5.14(8)</w:t>
      </w:r>
      <w:r>
        <w:rPr>
          <w:rFonts w:ascii="Times New Roman" w:hAnsi="Times New Roman"/>
          <w:b w:val="false"/>
          <w:i w:val="false"/>
          <w:color w:val="000000"/>
          <w:sz w:val="22"/>
        </w:rPr>
        <w:t> </w:t>
      </w:r>
      <w:r>
        <w:rPr>
          <w:rFonts w:ascii="Times New Roman" w:hAnsi="Times New Roman"/>
          <w:b w:val="false"/>
          <w:i/>
          <w:color w:val="000000"/>
          <w:sz w:val="22"/>
        </w:rPr>
        <w:t xml:space="preserve">Procedures for plan of correction. </w:t>
      </w:r>
      <w:r>
        <w:rPr>
          <w:rFonts w:ascii="Times New Roman" w:hAnsi="Times New Roman"/>
          <w:b w:val="false"/>
          <w:i w:val="false"/>
          <w:color w:val="000000"/>
          <w:sz w:val="22"/>
        </w:rPr>
        <w:t xml:space="preserve">Within 30 calendar days following receipt of the written notice of remedy pursuant to subrule </w:t>
      </w:r>
      <w:hyperlink r:id="rId23">
        <w:r>
          <w:rPr>
            <w:rStyle w:val="Hyperlink"/>
            <w:rFonts w:ascii="Times New Roman" w:hAnsi="Times New Roman"/>
            <w:b w:val="false"/>
            <w:i w:val="false"/>
            <w:color w:val="000000"/>
            <w:sz w:val="22"/>
          </w:rPr>
          <w:t>5.14(3)</w:t>
        </w:r>
      </w:hyperlink>
      <w:r>
        <w:rPr>
          <w:rFonts w:ascii="Times New Roman" w:hAnsi="Times New Roman"/>
          <w:b w:val="false"/>
          <w:i w:val="false"/>
          <w:color w:val="000000"/>
          <w:sz w:val="22"/>
        </w:rPr>
        <w:t>, the area agency on aging shall submit a plan of correction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Contents of plan. </w:t>
      </w:r>
      <w:r>
        <w:rPr>
          <w:rFonts w:ascii="Times New Roman" w:hAnsi="Times New Roman"/>
          <w:b w:val="false"/>
          <w:i w:val="false"/>
          <w:color w:val="000000"/>
          <w:sz w:val="22"/>
        </w:rPr>
        <w:t>The plan of correction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How the area agency on aging will correct the failure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How the area agency on aging will act to protect consumers within the affected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measures the area agency on aging will take or the systems it will alter to ensure that the problem does not reoccur;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How the area agency on aging plans to monitor its performance to make sure that solutions are sustained;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date(s) when corrective action will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Review of plan. </w:t>
      </w:r>
      <w:r>
        <w:rPr>
          <w:rFonts w:ascii="Times New Roman" w:hAnsi="Times New Roman"/>
          <w:b w:val="false"/>
          <w:i w:val="false"/>
          <w:color w:val="000000"/>
          <w:sz w:val="22"/>
        </w:rPr>
        <w:t>The department shall review the plan of correction within 30 calendar days of receipt. The department may request additional information or revisions to the plan, which shall be provided by the area agency on aging as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5.14(9)</w:t>
      </w:r>
      <w:r>
        <w:rPr>
          <w:rFonts w:ascii="Times New Roman" w:hAnsi="Times New Roman"/>
          <w:b w:val="false"/>
          <w:i w:val="false"/>
          <w:color w:val="000000"/>
          <w:sz w:val="22"/>
        </w:rPr>
        <w:t> </w:t>
      </w:r>
      <w:r>
        <w:rPr>
          <w:rFonts w:ascii="Times New Roman" w:hAnsi="Times New Roman"/>
          <w:b w:val="false"/>
          <w:i/>
          <w:color w:val="000000"/>
          <w:sz w:val="22"/>
        </w:rPr>
        <w:t xml:space="preserve">Appeal of a determination of failure to perform.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area agency on aging may request a hearing on a determination of a failure to perform that leads to a remedy citation. The affected area agency on aging shall file the request for hearing in writing to the department within 60 calendar days from receipt of the written notice of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Hearings shall be conducted pursuant to </w:t>
      </w:r>
      <w:hyperlink r:id="rId24">
        <w:r>
          <w:rPr>
            <w:rStyle w:val="Hyperlink"/>
            <w:rFonts w:ascii="Times New Roman" w:hAnsi="Times New Roman"/>
            <w:b w:val="false"/>
            <w:i w:val="false"/>
            <w:color w:val="000000"/>
            <w:sz w:val="22"/>
          </w:rPr>
          <w:t>17—Chapter 13</w:t>
        </w:r>
      </w:hyperlink>
      <w:r>
        <w:rPr>
          <w:rFonts w:ascii="Times New Roman" w:hAnsi="Times New Roman"/>
          <w:b w:val="false"/>
          <w:i w:val="false"/>
          <w:color w:val="000000"/>
          <w:sz w:val="22"/>
        </w:rPr>
        <w:t xml:space="preserve">, with an administrative law judge appointed as the presiding officer and with the department as the final decision maker with subject matter jurisdiction.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area agency on aging may not appeal the choice of remedy, including the factors considered by the department in choosing the remedy.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0743C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5">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5/20/82, Notice 3/17/82—published 6/9/82, effective 7/14/82]</w:t>
      </w:r>
    </w:p>
    <w:p>
      <w:pPr>
        <w:spacing w:before="0" w:after="0"/>
        <w:ind w:left="120"/>
        <w:jc w:val="center"/>
      </w:pPr>
      <w:r>
        <w:rPr>
          <w:rFonts w:ascii="Times New Roman" w:hAnsi="Times New Roman"/>
          <w:b w:val="false"/>
          <w:i w:val="false"/>
          <w:color w:val="000000"/>
          <w:sz w:val="21"/>
        </w:rPr>
        <w:t>[Filed 10/19/84, Notice 8/15/84—published 11/7/84, effective 12/12/84]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1/11/85—published 1/30/85, effective 1/11/85]</w:t>
      </w:r>
    </w:p>
    <w:p>
      <w:pPr>
        <w:spacing w:before="0" w:after="0"/>
        <w:ind w:left="120"/>
        <w:jc w:val="center"/>
      </w:pPr>
      <w:r>
        <w:rPr>
          <w:rFonts w:ascii="Times New Roman" w:hAnsi="Times New Roman"/>
          <w:b w:val="false"/>
          <w:i w:val="false"/>
          <w:color w:val="000000"/>
          <w:sz w:val="21"/>
        </w:rPr>
        <w:t>[Filed 11/27/85, Notice 10/9/85—published 12/18/85, effective 1/22/86]</w:t>
      </w:r>
    </w:p>
    <w:p>
      <w:pPr>
        <w:spacing w:before="0" w:after="0"/>
        <w:ind w:left="120"/>
        <w:jc w:val="center"/>
      </w:pPr>
      <w:r>
        <w:rPr>
          <w:rFonts w:ascii="Times New Roman" w:hAnsi="Times New Roman"/>
          <w:b w:val="false"/>
          <w:i w:val="false"/>
          <w:color w:val="000000"/>
          <w:sz w:val="21"/>
        </w:rPr>
        <w:t>[Filed 5/16/86, Notice 12/18/85—published 6/4/86, effective 7/9/86]</w:t>
      </w:r>
    </w:p>
    <w:p>
      <w:pPr>
        <w:spacing w:before="0" w:after="0"/>
        <w:ind w:left="120"/>
        <w:jc w:val="center"/>
      </w:pPr>
      <w:r>
        <w:rPr>
          <w:rFonts w:ascii="Times New Roman" w:hAnsi="Times New Roman"/>
          <w:b w:val="false"/>
          <w:i w:val="false"/>
          <w:color w:val="000000"/>
          <w:sz w:val="21"/>
        </w:rPr>
        <w:t>[Filed 5/30/86, Notice 3/12/86—published 6/18/86, effective 7/23/86]</w:t>
      </w:r>
    </w:p>
    <w:p>
      <w:pPr>
        <w:spacing w:before="0" w:after="0"/>
        <w:ind w:left="120"/>
        <w:jc w:val="center"/>
      </w:pPr>
      <w:r>
        <w:rPr>
          <w:rFonts w:ascii="Times New Roman" w:hAnsi="Times New Roman"/>
          <w:b w:val="false"/>
          <w:i w:val="false"/>
          <w:color w:val="000000"/>
          <w:sz w:val="21"/>
        </w:rPr>
        <w:t>[Filed 5/1/87, Notice 2/25/87—published 5/20/87, effective 6/24/87]</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8/20/87—published 9/9/87, effective 9/2/87]</w:t>
      </w:r>
    </w:p>
    <w:p>
      <w:pPr>
        <w:spacing w:before="0" w:after="0"/>
        <w:ind w:left="120"/>
        <w:jc w:val="center"/>
      </w:pPr>
      <w:r>
        <w:rPr>
          <w:rFonts w:ascii="Times New Roman" w:hAnsi="Times New Roman"/>
          <w:b w:val="false"/>
          <w:i w:val="false"/>
          <w:color w:val="000000"/>
          <w:sz w:val="21"/>
        </w:rPr>
        <w:t>[Filed 12/6/91, Notice 6/12/91—published 12/25/91, effective 1/29/92]</w:t>
      </w:r>
    </w:p>
    <w:p>
      <w:pPr>
        <w:spacing w:before="0" w:after="0"/>
        <w:ind w:left="120"/>
        <w:jc w:val="center"/>
      </w:pPr>
      <w:r>
        <w:rPr>
          <w:rFonts w:ascii="Times New Roman" w:hAnsi="Times New Roman"/>
          <w:b w:val="false"/>
          <w:i w:val="false"/>
          <w:color w:val="000000"/>
          <w:sz w:val="21"/>
        </w:rPr>
        <w:t>[Filed 4/3/92, Notice 2/19/92—published 4/29/92, effective 6/3/92]</w:t>
      </w:r>
    </w:p>
    <w:p>
      <w:pPr>
        <w:spacing w:before="0" w:after="0"/>
        <w:ind w:left="120"/>
        <w:jc w:val="center"/>
      </w:pPr>
      <w:r>
        <w:rPr>
          <w:rFonts w:ascii="Times New Roman" w:hAnsi="Times New Roman"/>
          <w:b w:val="false"/>
          <w:i w:val="false"/>
          <w:color w:val="000000"/>
          <w:sz w:val="21"/>
        </w:rPr>
        <w:t>[Filed 3/23/93, Notice 11/11/92—published 4/14/93, effective 5/19/93]</w:t>
      </w:r>
    </w:p>
    <w:p>
      <w:pPr>
        <w:spacing w:before="0" w:after="0"/>
        <w:ind w:left="120"/>
        <w:jc w:val="center"/>
      </w:pPr>
      <w:r>
        <w:rPr>
          <w:rFonts w:ascii="Times New Roman" w:hAnsi="Times New Roman"/>
          <w:b w:val="false"/>
          <w:i w:val="false"/>
          <w:color w:val="000000"/>
          <w:sz w:val="21"/>
        </w:rPr>
        <w:t>[Filed 11/5/93, Notice 9/15/93—published 11/24/93, effective 12/29/93]</w:t>
      </w:r>
    </w:p>
    <w:p>
      <w:pPr>
        <w:spacing w:before="0" w:after="0"/>
        <w:ind w:left="120"/>
        <w:jc w:val="center"/>
      </w:pPr>
      <w:r>
        <w:rPr>
          <w:rFonts w:ascii="Times New Roman" w:hAnsi="Times New Roman"/>
          <w:b w:val="false"/>
          <w:i w:val="false"/>
          <w:color w:val="000000"/>
          <w:sz w:val="21"/>
        </w:rPr>
        <w:t>[Filed 11/3/95, Notice 8/16/95—published 11/22/95, effective 12/27/95]</w:t>
      </w:r>
    </w:p>
    <w:p>
      <w:pPr>
        <w:spacing w:before="0" w:after="0"/>
        <w:ind w:left="120"/>
        <w:jc w:val="center"/>
      </w:pPr>
      <w:r>
        <w:rPr>
          <w:rFonts w:ascii="Times New Roman" w:hAnsi="Times New Roman"/>
          <w:b w:val="false"/>
          <w:i w:val="false"/>
          <w:color w:val="000000"/>
          <w:sz w:val="21"/>
        </w:rPr>
        <w:t>[Filed emergency 2/15/02 after Notice 1/9/02—published 3/6/02, effective 2/15/02]</w:t>
      </w:r>
    </w:p>
    <w:p>
      <w:pPr>
        <w:spacing w:before="0" w:after="0"/>
        <w:ind w:left="120"/>
        <w:jc w:val="center"/>
      </w:pPr>
      <w:r>
        <w:rPr>
          <w:rFonts w:ascii="Times New Roman" w:hAnsi="Times New Roman"/>
          <w:b w:val="false"/>
          <w:i w:val="false"/>
          <w:color w:val="000000"/>
          <w:sz w:val="21"/>
        </w:rPr>
        <w:t>[Filed 2/21/06, Notice 11/23/05—published 3/15/06, effective 5/1/06]</w:t>
      </w:r>
    </w:p>
    <w:p>
      <w:pPr>
        <w:spacing w:before="0" w:after="0"/>
        <w:ind w:left="120"/>
        <w:jc w:val="center"/>
      </w:pPr>
      <w:r>
        <w:rPr>
          <w:rFonts w:ascii="Times New Roman" w:hAnsi="Times New Roman"/>
          <w:b w:val="false"/>
          <w:i w:val="false"/>
          <w:color w:val="000000"/>
          <w:sz w:val="21"/>
        </w:rPr>
        <w:t>[Filed Emergency ARC 8489B, IAB 1/27/10, effective 1/7/10]</w:t>
      </w:r>
    </w:p>
    <w:p>
      <w:pPr>
        <w:spacing w:before="0" w:after="0"/>
        <w:ind w:left="120"/>
        <w:jc w:val="center"/>
      </w:pPr>
      <w:r>
        <w:rPr>
          <w:rFonts w:ascii="Times New Roman" w:hAnsi="Times New Roman"/>
          <w:b w:val="false"/>
          <w:i w:val="false"/>
          <w:color w:val="000000"/>
          <w:sz w:val="21"/>
        </w:rPr>
        <w:t>[Filed Emergency ARC 9577B, IAB 6/29/11, effective 6/7/11]</w:t>
      </w:r>
    </w:p>
    <w:p>
      <w:pPr>
        <w:spacing w:before="0" w:after="0"/>
        <w:ind w:left="120"/>
        <w:jc w:val="center"/>
      </w:pPr>
      <w:r>
        <w:rPr>
          <w:rFonts w:ascii="Times New Roman" w:hAnsi="Times New Roman"/>
          <w:b w:val="false"/>
          <w:i w:val="false"/>
          <w:color w:val="000000"/>
          <w:sz w:val="21"/>
        </w:rPr>
        <w:t>[Filed ARC 0743C</w:t>
      </w:r>
      <w:r>
        <w:rPr>
          <w:rFonts w:ascii="Times New Roman" w:hAnsi="Times New Roman"/>
          <w:b w:val="false"/>
          <w:i w:val="false"/>
          <w:color w:val="000000"/>
          <w:sz w:val="21"/>
        </w:rPr>
        <w:t xml:space="preserve"> (Notice ARC 0550C, IAB 1/9/13)</w:t>
      </w:r>
      <w:r>
        <w:rPr>
          <w:rFonts w:ascii="Times New Roman" w:hAnsi="Times New Roman"/>
          <w:b w:val="false"/>
          <w:i w:val="false"/>
          <w:color w:val="000000"/>
          <w:sz w:val="21"/>
        </w:rPr>
        <w:t>, IAB 5/15/13, effective 6/19/13]</w:t>
      </w:r>
    </w:p>
    <w:p>
      <w:pPr>
        <w:spacing w:before="0" w:after="0"/>
        <w:ind w:left="120"/>
        <w:jc w:val="center"/>
      </w:pPr>
      <w:r>
        <w:rPr>
          <w:rFonts w:ascii="Times New Roman" w:hAnsi="Times New Roman"/>
          <w:b w:val="false"/>
          <w:i w:val="false"/>
          <w:color w:val="000000"/>
          <w:sz w:val="21"/>
        </w:rPr>
        <w:t>[Filed ARC 1533C</w:t>
      </w:r>
      <w:r>
        <w:rPr>
          <w:rFonts w:ascii="Times New Roman" w:hAnsi="Times New Roman"/>
          <w:b w:val="false"/>
          <w:i w:val="false"/>
          <w:color w:val="000000"/>
          <w:sz w:val="21"/>
        </w:rPr>
        <w:t xml:space="preserve"> (Notice ARC 1427C, IAB 4/16/14)</w:t>
      </w:r>
      <w:r>
        <w:rPr>
          <w:rFonts w:ascii="Times New Roman" w:hAnsi="Times New Roman"/>
          <w:b w:val="false"/>
          <w:i w:val="false"/>
          <w:color w:val="000000"/>
          <w:sz w:val="21"/>
        </w:rPr>
        <w:t>, IAB 7/9/14, effective 8/13/14]</w:t>
      </w:r>
    </w:p>
    <w:p>
      <w:pPr>
        <w:pBdr>
          <w:bottom w:space="2"/>
        </w:pBdr>
        <w:spacing w:before="0" w:after="0"/>
        <w:ind w:left="120"/>
        <w:jc w:val="both"/>
      </w:pPr>
      <w:r>
        <w:rPr>
          <w:rFonts w:ascii="Times New Roman" w:hAnsi="Times New Roman"/>
          <w:b w:val="false"/>
          <w:i w:val="false"/>
          <w:color w:val="000000"/>
          <w:sz w:val="22"/>
        </w:rPr>
        <w:t>Effective date of 20—9.22(2) delayed 70 days by the Administrative Rules Review Committee.</w:t>
      </w:r>
    </w:p>
    <w:p>
      <w:pPr>
        <w:pBdr>
          <w:bottom w:space="2"/>
        </w:pBdr>
        <w:spacing w:before="0" w:after="0"/>
        <w:ind w:left="120"/>
        <w:jc w:val="both"/>
      </w:pPr>
      <w:r>
        <w:rPr>
          <w:rFonts w:ascii="Times New Roman" w:hAnsi="Times New Roman"/>
          <w:b w:val="false"/>
          <w:i w:val="false"/>
          <w:color w:val="000000"/>
          <w:sz w:val="22"/>
        </w:rPr>
        <w:t>Effective date of Ch 5 delayed 70 days by the Administrative Rules Review Committee.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7.5.2.pdf" Type="http://schemas.openxmlformats.org/officeDocument/2006/relationships/hyperlink" Id="rId5"/>
    <Relationship TargetMode="External" Target="https://www.legis.iowa.gov/docs/iac/rule/17.5.2.pdf" Type="http://schemas.openxmlformats.org/officeDocument/2006/relationships/hyperlink" Id="rId6"/>
    <Relationship TargetMode="External" Target="https://www.legis.iowa.gov/docs/iac/rule/17.5.2.pdf" Type="http://schemas.openxmlformats.org/officeDocument/2006/relationships/hyperlink" Id="rId7"/>
    <Relationship TargetMode="External" Target="www.aging.iowa.gov" Type="http://schemas.openxmlformats.org/officeDocument/2006/relationships/hyperlink" Id="rId8"/>
    <Relationship TargetMode="External" Target="https://www.legis.iowa.gov/docs/iac/rule/17.5.3.pdf" Type="http://schemas.openxmlformats.org/officeDocument/2006/relationships/hyperlink" Id="rId9"/>
    <Relationship TargetMode="External" Target="https://www.legis.iowa.gov/docs/iac/rule/17.5.3.pdf" Type="http://schemas.openxmlformats.org/officeDocument/2006/relationships/hyperlink" Id="rId10"/>
    <Relationship TargetMode="External" Target="https://www.legis.iowa.gov/docs/iac/rule/17.5.3.pdf" Type="http://schemas.openxmlformats.org/officeDocument/2006/relationships/hyperlink" Id="rId11"/>
    <Relationship TargetMode="External" Target="https://www.legis.iowa.gov/docs/iac/rule/17.5.3.pdf" Type="http://schemas.openxmlformats.org/officeDocument/2006/relationships/hyperlink" Id="rId12"/>
    <Relationship TargetMode="External" Target="www.aging.iowa.gov" Type="http://schemas.openxmlformats.org/officeDocument/2006/relationships/hyperlink" Id="rId13"/>
    <Relationship TargetMode="External" Target="www.aging.iowa.gov" Type="http://schemas.openxmlformats.org/officeDocument/2006/relationships/hyperlink" Id="rId14"/>
    <Relationship TargetMode="External" Target="www.aging.iowa.gov" Type="http://schemas.openxmlformats.org/officeDocument/2006/relationships/hyperlink" Id="rId15"/>
    <Relationship TargetMode="External" Target="https://www.legis.iowa.gov/docs/iac/rule/17.5.14.pdf" Type="http://schemas.openxmlformats.org/officeDocument/2006/relationships/hyperlink" Id="rId16"/>
    <Relationship TargetMode="External" Target="https://www.legis.iowa.gov/docs/iac/rule/17.5.14.pdf" Type="http://schemas.openxmlformats.org/officeDocument/2006/relationships/hyperlink" Id="rId17"/>
    <Relationship TargetMode="External" Target="https://www.legis.iowa.gov/docs/iac/rule/17.5.14.pdf" Type="http://schemas.openxmlformats.org/officeDocument/2006/relationships/hyperlink" Id="rId18"/>
    <Relationship TargetMode="External" Target="https://www.legis.iowa.gov/docs/iac/rule/17.5.10.pdf" Type="http://schemas.openxmlformats.org/officeDocument/2006/relationships/hyperlink" Id="rId19"/>
    <Relationship TargetMode="External" Target="https://www.legis.iowa.gov/docs/iac/rule/17.5.14.pdf" Type="http://schemas.openxmlformats.org/officeDocument/2006/relationships/hyperlink" Id="rId20"/>
    <Relationship TargetMode="External" Target="https://www.legis.iowa.gov/docs/iac/rule/17.5.14.pdf" Type="http://schemas.openxmlformats.org/officeDocument/2006/relationships/hyperlink" Id="rId21"/>
    <Relationship TargetMode="External" Target="https://www.legis.iowa.gov/docs/iac/rule/17.4.6.pdf" Type="http://schemas.openxmlformats.org/officeDocument/2006/relationships/hyperlink" Id="rId22"/>
    <Relationship TargetMode="External" Target="https://www.legis.iowa.gov/docs/iac/rule/17.5.14.pdf" Type="http://schemas.openxmlformats.org/officeDocument/2006/relationships/hyperlink" Id="rId23"/>
    <Relationship TargetMode="External" Target="https://www.legis.iowa.gov/docs/iac/chapter/17.13.pdf" Type="http://schemas.openxmlformats.org/officeDocument/2006/relationships/hyperlink" Id="rId24"/>
    <Relationship TargetMode="External" Target="https://www.legis.iowa.gov/docs/ico/chapter/231.pdf" Type="http://schemas.openxmlformats.org/officeDocument/2006/relationships/hyperlink"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