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OFFICE OF PUBLIC GUARDIAN</w:t>
      </w:r>
    </w:p>
    <w:p>
      <w:pPr>
        <w:spacing w:before="0" w:after="0"/>
        <w:ind w:left="120"/>
        <w:jc w:val="center"/>
      </w:pPr>
      <w:r>
        <w:rPr>
          <w:rFonts w:ascii="Times New Roman" w:hAnsi="Times New Roman"/>
          <w:b w:val="false"/>
          <w:i w:val="false"/>
          <w:color w:val="000000"/>
          <w:sz w:val="14"/>
        </w:rPr>
        <w:t>[Prior to 1/27/10, see Elder Affairs Department[321]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17—22.1</w:t>
      </w:r>
      <w:r>
        <w:rPr>
          <w:rFonts w:ascii="Times New Roman" w:hAnsi="Times New Roman"/>
          <w:b/>
          <w:i w:val="false"/>
          <w:color w:val="000000"/>
          <w:sz w:val="22"/>
        </w:rPr>
        <w:t xml:space="preserve">(231E,633)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implements the office of public guardian as created in Iowa Code chapter </w:t>
      </w:r>
      <w:hyperlink r:id="rId5">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and establishes standards and procedures for those appointed as public guardians. It also establishes the qualifications of consumers eligible for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17—22.2</w:t>
      </w:r>
      <w:r>
        <w:rPr>
          <w:rFonts w:ascii="Times New Roman" w:hAnsi="Times New Roman"/>
          <w:b/>
          <w:i w:val="false"/>
          <w:color w:val="000000"/>
          <w:sz w:val="22"/>
        </w:rPr>
        <w:t xml:space="preserve">(231E,633)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used in this chapter are as defined in </w:t>
      </w:r>
      <w:hyperlink r:id="rId6">
        <w:r>
          <w:rPr>
            <w:rStyle w:val="Hyperlink"/>
            <w:rFonts w:ascii="Times New Roman" w:hAnsi="Times New Roman"/>
            <w:b w:val="false"/>
            <w:i w:val="false"/>
            <w:color w:val="000000"/>
            <w:sz w:val="22"/>
          </w:rPr>
          <w:t>17—Chapter 1</w:t>
        </w:r>
      </w:hyperlink>
      <w:r>
        <w:rPr>
          <w:rFonts w:ascii="Times New Roman" w:hAnsi="Times New Roman"/>
          <w:b w:val="false"/>
          <w:i w:val="false"/>
          <w:color w:val="000000"/>
          <w:sz w:val="22"/>
        </w:rPr>
        <w:t xml:space="preserve"> unless the context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a comprehensive, in-depth evaluation to identify an individual’s current situation, ability to function, strengths, problems, and care needs in the following major functional areas: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physical health, medical care utilization, activities of daily living, instrumental activities of daily living, mental and social functioning, financial resources, physical environment, and utilization of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opening” </w:t>
      </w:r>
      <w:r>
        <w:rPr>
          <w:rFonts w:ascii="Times New Roman" w:hAnsi="Times New Roman"/>
          <w:b w:val="false"/>
          <w:i w:val="false"/>
          <w:color w:val="000000"/>
          <w:sz w:val="22"/>
        </w:rPr>
        <w:t>means the internal administrative process used by the local office in establishing a temporary or ongoing case, including, but not limited to: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collecting and reviewing necessary financial, legal, medical or social history information pertaining to the consumer or the consumer’s estate; opening bank or other financial accounts on the consumer’s behalf; assigning staff to perform public guardianship responsibilities for the consumer; collecting and receiving property of the consumer; creating files, summaries and other documents necessary for the management of the consumer or the consumer’s estate; and any other activities related to preparing for and assuming the responsibilities as a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as used in this chapter means any individual receiving public guardianship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w:t>
      </w:r>
      <w:r>
        <w:rPr>
          <w:rFonts w:ascii="Times New Roman" w:hAnsi="Times New Roman"/>
          <w:b w:val="false"/>
          <w:i w:val="false"/>
          <w:color w:val="000000"/>
          <w:sz w:val="22"/>
        </w:rPr>
        <w:t>means the probate court having jurisdiction over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on aging established in Iowa Code section </w:t>
      </w:r>
      <w:hyperlink r:id="rId7">
        <w:r>
          <w:rPr>
            <w:rStyle w:val="Hyperlink"/>
            <w:rFonts w:ascii="Times New Roman" w:hAnsi="Times New Roman"/>
            <w:b w:val="false"/>
            <w:i w:val="false"/>
            <w:color w:val="000000"/>
            <w:sz w:val="22"/>
          </w:rPr>
          <w:t>231.21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“Estate” </w:t>
      </w:r>
      <w:r>
        <w:rPr>
          <w:rFonts w:ascii="Times New Roman" w:hAnsi="Times New Roman"/>
          <w:b w:val="false"/>
          <w:i w:val="false"/>
          <w:color w:val="000000"/>
          <w:sz w:val="22"/>
        </w:rPr>
        <w:t>means all property owned by the consumer including, but not limited to: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all cash, liquid assets, furniture, motor vehicles, and any other tangible personal and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“fees” </w:t>
      </w:r>
      <w:r>
        <w:rPr>
          <w:rFonts w:ascii="Times New Roman" w:hAnsi="Times New Roman"/>
          <w:b w:val="false"/>
          <w:i w:val="false"/>
          <w:color w:val="000000"/>
          <w:sz w:val="22"/>
        </w:rPr>
        <w:t>means any costs assessed by the state office against a consumer for public guardianship services, including monthly fees or a one-time case-opening fee for establishment of a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hardship” </w:t>
      </w:r>
      <w:r>
        <w:rPr>
          <w:rFonts w:ascii="Times New Roman" w:hAnsi="Times New Roman"/>
          <w:b w:val="false"/>
          <w:i w:val="false"/>
          <w:color w:val="000000"/>
          <w:sz w:val="22"/>
        </w:rPr>
        <w:t>means a living consumer who has a total value in liquid assets below $6,500; or the consumer’s estate proving otherwise inadequate to obtain or provide for physical or mental care or treatment, assistance, education, training, sustenance, housing, or other goods or services vital to the well-being of the consumer or the consumer’s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“Inventory” </w:t>
      </w:r>
      <w:r>
        <w:rPr>
          <w:rFonts w:ascii="Times New Roman" w:hAnsi="Times New Roman"/>
          <w:b w:val="false"/>
          <w:i w:val="false"/>
          <w:color w:val="000000"/>
          <w:sz w:val="22"/>
        </w:rPr>
        <w:t>means a detailed list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 assets” </w:t>
      </w:r>
      <w:r>
        <w:rPr>
          <w:rFonts w:ascii="Times New Roman" w:hAnsi="Times New Roman"/>
          <w:b w:val="false"/>
          <w:i w:val="false"/>
          <w:color w:val="000000"/>
          <w:sz w:val="22"/>
        </w:rPr>
        <w:t>means the portion of a consumer’s estate comprised of cash, negotiable instruments, or other similar property that is readily convertible to cash and has a readily ascertainable fixed value, including but not limited to: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savings accounts, checking accounts, certificates of deposit, money market accounts, corporate or municipal bonds, U.S. savings bonds, stocks or other negotiable securities, and mutual fund shares.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means a local office of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public guardian” </w:t>
      </w:r>
      <w:r>
        <w:rPr>
          <w:rFonts w:ascii="Times New Roman" w:hAnsi="Times New Roman"/>
          <w:b w:val="false"/>
          <w:i w:val="false"/>
          <w:color w:val="000000"/>
          <w:sz w:val="22"/>
        </w:rPr>
        <w:t>means an individual under contract with the department to act as a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proceeds” </w:t>
      </w:r>
      <w:r>
        <w:rPr>
          <w:rFonts w:ascii="Times New Roman" w:hAnsi="Times New Roman"/>
          <w:b w:val="false"/>
          <w:i w:val="false"/>
          <w:color w:val="000000"/>
          <w:sz w:val="22"/>
        </w:rPr>
        <w:t>means the value of the property at the time of sale minus taxes, commissions and other necessary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services offered by the office of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guardian” </w:t>
      </w:r>
      <w:r>
        <w:rPr>
          <w:rFonts w:ascii="Times New Roman" w:hAnsi="Times New Roman"/>
          <w:b w:val="false"/>
          <w:i w:val="false"/>
          <w:color w:val="000000"/>
          <w:sz w:val="22"/>
        </w:rPr>
        <w:t>means the state public guardian or a local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means any information obtained by the state or local office in the performance of its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office” </w:t>
      </w:r>
      <w:r>
        <w:rPr>
          <w:rFonts w:ascii="Times New Roman" w:hAnsi="Times New Roman"/>
          <w:b w:val="false"/>
          <w:i w:val="false"/>
          <w:color w:val="000000"/>
          <w:sz w:val="22"/>
        </w:rPr>
        <w:t>means the state office of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 guardian” </w:t>
      </w:r>
      <w:r>
        <w:rPr>
          <w:rFonts w:ascii="Times New Roman" w:hAnsi="Times New Roman"/>
          <w:b w:val="false"/>
          <w:i w:val="false"/>
          <w:color w:val="000000"/>
          <w:sz w:val="22"/>
        </w:rPr>
        <w:t>means the administrator of the state office of public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17—22.3</w:t>
      </w:r>
      <w:r>
        <w:rPr>
          <w:rFonts w:ascii="Times New Roman" w:hAnsi="Times New Roman"/>
          <w:b/>
          <w:i w:val="false"/>
          <w:color w:val="000000"/>
          <w:sz w:val="22"/>
        </w:rPr>
        <w:t xml:space="preserve">(231E,633) </w:t>
      </w:r>
      <w:r>
        <w:rPr>
          <w:rFonts w:ascii="Times New Roman" w:hAnsi="Times New Roman"/>
          <w:b/>
          <w:i w:val="false"/>
          <w:color w:val="000000"/>
          <w:sz w:val="22"/>
        </w:rPr>
        <w:t xml:space="preserve">Public guardian qualifications. </w:t>
      </w:r>
      <w:r>
        <w:rPr>
          <w:rFonts w:ascii="Times New Roman" w:hAnsi="Times New Roman"/>
          <w:b w:val="false"/>
          <w:i w:val="false"/>
          <w:color w:val="000000"/>
          <w:sz w:val="22"/>
        </w:rPr>
        <w:t>All public guardians shall have graduated from an accredited four-year college or university and shall be certified by the Center for Guardianship Certification within 12 months of assuming duties as a public guardian. This certification shall be kept current while the person is serving as a public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17—22.4</w:t>
      </w:r>
      <w:r>
        <w:rPr>
          <w:rFonts w:ascii="Times New Roman" w:hAnsi="Times New Roman"/>
          <w:b/>
          <w:i w:val="false"/>
          <w:color w:val="000000"/>
          <w:sz w:val="22"/>
        </w:rPr>
        <w:t xml:space="preserve">(231E,633) </w:t>
      </w:r>
      <w:r>
        <w:rPr>
          <w:rFonts w:ascii="Times New Roman" w:hAnsi="Times New Roman"/>
          <w:b/>
          <w:i w:val="false"/>
          <w:color w:val="000000"/>
          <w:sz w:val="22"/>
        </w:rPr>
        <w:t xml:space="preserve">Ethics and standards of practice. </w:t>
      </w:r>
      <w:r>
        <w:rPr>
          <w:rFonts w:ascii="Times New Roman" w:hAnsi="Times New Roman"/>
          <w:b w:val="false"/>
          <w:i w:val="false"/>
          <w:color w:val="000000"/>
          <w:sz w:val="22"/>
        </w:rPr>
        <w:t>The state office adopts the National Guardianship Association Standards of Practice adopted in 2000, including any subsequent amendments thereto, as a statement of the best practices and the highest quality of practice for persons serving as guardians or conservators. The adoption of standards of practice in this document is not intended to amend or diminish the statutory scheme, but rather to supplement and enhance the understanding of the statutory obligations to be met by public guardians when serving as a public guardian. Subsequent to appointment to serve a consumer, the public guardian shall perform all duties imposed by the court or other entity having jurisdiction and imposed by applicable law and, as appropriate, shall utilize standards found in the most current edition of the National Guardianship Association Standards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17—22.5</w:t>
      </w:r>
      <w:r>
        <w:rPr>
          <w:rFonts w:ascii="Times New Roman" w:hAnsi="Times New Roman"/>
          <w:b/>
          <w:i w:val="false"/>
          <w:color w:val="000000"/>
          <w:sz w:val="22"/>
        </w:rPr>
        <w:t xml:space="preserve">(231E,633) </w:t>
      </w:r>
      <w:r>
        <w:rPr>
          <w:rFonts w:ascii="Times New Roman" w:hAnsi="Times New Roman"/>
          <w:b/>
          <w:i w:val="false"/>
          <w:color w:val="000000"/>
          <w:sz w:val="22"/>
        </w:rPr>
        <w:t xml:space="preserve">Staffing ratio. </w:t>
      </w:r>
      <w:r>
        <w:rPr>
          <w:rFonts w:ascii="Times New Roman" w:hAnsi="Times New Roman"/>
          <w:b w:val="false"/>
          <w:i w:val="false"/>
          <w:color w:val="000000"/>
          <w:sz w:val="22"/>
        </w:rPr>
        <w:t>Local offices shall be responsible for no more than 40 consumers per full-time equivalent position at any one time. The state office shall notify the state court administrator when the maximum number of appointments is reached by a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In its sole discretion, if the state office determines that due to the complexity of current cases a local office would have significant difficulty meeting the needs of consumers, the state office may choose to temporarily suspend acceptance of appointments. The state office shall notify the state court administrator of the suspension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In the state office’s sole discretion, a local office may exceed staffing ratios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priority situation exists as defined in subrule </w:t>
      </w:r>
      <w:hyperlink r:id="rId8">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Acceptance of case(s) will not adversely affect services to current consumers.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3484C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17—22.6</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A conflict of interest arises when the public guardian has any personal or agency interest that is or may be perceived as self-serving or adverse to the position or best interest of the consumer. When assigning a consumer to a public guardian, all reasonable efforts shall be made to avoid a conflict of interest or the appearance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The assigned public guardian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direct services to the consumer receiving public guardianship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an affiliation with or financial interest in the consumer’s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 friends or family to provide services to the consumer for a fee;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 or accept incentives from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The public guardian shall be independent from all service providers, thus ensuring that the public guardian remains free to challenge inappropriate or poorly delivered services and to advocate on behalf of the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17—22.7</w:t>
      </w:r>
      <w:r>
        <w:rPr>
          <w:rFonts w:ascii="Times New Roman" w:hAnsi="Times New Roman"/>
          <w:b/>
          <w:i w:val="false"/>
          <w:color w:val="000000"/>
          <w:sz w:val="22"/>
        </w:rPr>
        <w:t xml:space="preserve">(231E,633) </w:t>
      </w:r>
      <w:r>
        <w:rPr>
          <w:rFonts w:ascii="Times New Roman" w:hAnsi="Times New Roman"/>
          <w:b/>
          <w:i w:val="false"/>
          <w:color w:val="000000"/>
          <w:sz w:val="22"/>
        </w:rPr>
        <w:t xml:space="preserve">Individuals eligible for services. </w:t>
      </w:r>
      <w:r>
        <w:rPr>
          <w:rFonts w:ascii="Times New Roman" w:hAnsi="Times New Roman"/>
          <w:b w:val="false"/>
          <w:i w:val="false"/>
          <w:color w:val="000000"/>
          <w:sz w:val="22"/>
        </w:rPr>
        <w:t>The state office shall seek to restrict appointments to only those necessary. The state office will not accept an appointment based upon a voluntary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In order to qualify for services, the individual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aged 18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have a suitable individual or appropriate entity willing and able to serve as guardian or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incompetent;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Is an individual for whom guardianship or conservatorship services are the least restrictive means of meeting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The following cases shall be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involving abuse, neglect or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in which a critical medical decision must be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situation which may cause serious or irreparable harm to the consumer’s mental or physical health or estate.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17—22.8</w:t>
      </w:r>
      <w:r>
        <w:rPr>
          <w:rFonts w:ascii="Times New Roman" w:hAnsi="Times New Roman"/>
          <w:b/>
          <w:i w:val="false"/>
          <w:color w:val="000000"/>
          <w:sz w:val="22"/>
        </w:rPr>
        <w:t xml:space="preserve">(231E,633) </w:t>
      </w:r>
      <w:r>
        <w:rPr>
          <w:rFonts w:ascii="Times New Roman" w:hAnsi="Times New Roman"/>
          <w:b/>
          <w:i w:val="false"/>
          <w:color w:val="000000"/>
          <w:sz w:val="22"/>
        </w:rPr>
        <w:t xml:space="preserve">Application and intake process—guardianship, conservatorship, and representative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Any person may submit an application for services on behalf of an individual believed to be in need of public guardianship services. Applications are available through the state office. Completed applications shall be submitted to the Office of Public Guardian, Jessie M. Parker Building, 510 East 12th Street, Suite 2, Des Moines, Iowa 50319-9025. Incomplete applications will not be considered. Communication with the state office or local office or the submission of an application does not imply an appointment and does not create any type of fiduciary relationship between the state office and the individual on whose behalf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office shall make a determination regarding eligibility of the individual and acceptance or denial of the case based on a review of the completed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The state office shall grant or deny an application for services as soon as practicable, but, in any event, shall do so within 60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val="false"/>
          <w:color w:val="000000"/>
          <w:sz w:val="22"/>
        </w:rPr>
        <w:t>Failure of the state office to grant or deny an application within the specified time period shall be deemed a denial of the application by the state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17—22.9</w:t>
      </w:r>
      <w:r>
        <w:rPr>
          <w:rFonts w:ascii="Times New Roman" w:hAnsi="Times New Roman"/>
          <w:b/>
          <w:i w:val="false"/>
          <w:color w:val="000000"/>
          <w:sz w:val="22"/>
        </w:rPr>
        <w:t xml:space="preserve">(231E,633) </w:t>
      </w:r>
      <w:r>
        <w:rPr>
          <w:rFonts w:ascii="Times New Roman" w:hAnsi="Times New Roman"/>
          <w:b/>
          <w:i w:val="false"/>
          <w:color w:val="000000"/>
          <w:sz w:val="22"/>
        </w:rPr>
        <w:t xml:space="preserve">Case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A case record must be established for each consumer. At a minimum, the case record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the assessments, medical records, and updates,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financial management folder containing an inventory, an individual financial management plan, a record of all financial transactions made on behalf of the consumer by the public guardian, copies of receipts for all expenditures made by the public guardian on behalf of the consumer, and copies of all other documents pertaining to the consumer’s financial situation as required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Itemized statements of costs incurred in the provision of services for which the public guardian received court-authorized reimbursement directly from the consumer’s estate;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case records maintained by the public guardian shall be confidential as provided in Iowa Code section </w:t>
      </w:r>
      <w:hyperlink r:id="rId9">
        <w:r>
          <w:rPr>
            <w:rStyle w:val="Hyperlink"/>
            <w:rFonts w:ascii="Times New Roman" w:hAnsi="Times New Roman"/>
            <w:b w:val="false"/>
            <w:i w:val="false"/>
            <w:color w:val="000000"/>
            <w:sz w:val="22"/>
          </w:rPr>
          <w:t>231E.4(6)</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17—22.10</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Notwithstanding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following provisions shall apply to records obtained by public guardians in the course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Records or information obtained for use by a public guardian is confidential. All records or information obtained from federal, state or local agencies and health or mental care service providers shall be managed by the state and local offices with the same degree of confidentiality required by law or the policy utilized by the entity having control of such records or information. Such records or information shall not be disseminated without written permission from the entity having control of such records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In its sole discretion, the state or local office may disclose a record obtained in the performance of its duties if release of the record is necessary and in the best interest of the consumer. Disclosure of a record under this rule does not affect the confidential nature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val="false"/>
          <w:color w:val="000000"/>
          <w:sz w:val="22"/>
        </w:rPr>
        <w:t>Information may be redacted so that personally identifiable information is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 may be disclosed to employees and agents of the department as needed for the performance of their duties. The state office shall determine what constitutes legitimate need to use confidential records. Individuals affected by this rule may include paid staff and volunteers working under the direction of the department and commission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22.10(5)</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program expenditures and client eligibility may be released to staff of the state executive and legislative branches who are responsible for ensuring that public funds have been managed correctly. This same information may also be released to auditors from federal agencies when those agencies provide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22.10(6)</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enter into contracts or agreements with public or private entities in order to carry out the state or local office’s official duties. Information necessary to carry out these duties may be shared with these entities. The state or local office may disclose protected health information to an entity under contract and may allow an entity to create or receive protected health information on the state or local office’s behalf if the state or local office obtains satisfactory assurance that the entity will appropriately safeguard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22.10(7)</w:t>
      </w:r>
      <w:r>
        <w:rPr>
          <w:rFonts w:ascii="Times New Roman" w:hAnsi="Times New Roman"/>
          <w:b w:val="false"/>
          <w:i w:val="false"/>
          <w:color w:val="000000"/>
          <w:sz w:val="22"/>
        </w:rPr>
        <w:t> </w:t>
      </w:r>
      <w:r>
        <w:rPr>
          <w:rFonts w:ascii="Times New Roman" w:hAnsi="Times New Roman"/>
          <w:b w:val="false"/>
          <w:i w:val="false"/>
          <w:color w:val="000000"/>
          <w:sz w:val="22"/>
        </w:rPr>
        <w:t>Release for judicial and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shall be released to the court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or local office shall disclose protected health information in the course of any judicial or administrative proceeding in response to an order of a court or administrative tribunal. The state or local office shall disclose only the protected health information expressly authorized by the order and when the court makes the order knowing that the information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court subpoenas other information that the state or local office is prohibited from releasing, the state or local office shall advise the court of the statutory and regulatory provisions against disclosure of the information and shall disclose the information only on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22.10(8)</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suspected fraud or misrepresentation in order to obtain public guardianship services or assistance may be disclosed to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22.10(9)</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consumers may be shared with service providers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consumer’s circumstances and need for services may be shared with prospective service providers to obtain placement for the consumer. If the consumer is not accepted for service, all written information released to the service provider shall be returned to the state or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information needed by the service provider is mental health information or substance abuse information, the consumer’s specific consent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22.10(10)</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state or local office receives a request for access to a confidential record, and before the state or local office releases such a record, the state or local office may make reasonable efforts to promptly notify any person who is a subject of that record, who is identified in that record, or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17—22.11</w:t>
      </w:r>
      <w:r>
        <w:rPr>
          <w:rFonts w:ascii="Times New Roman" w:hAnsi="Times New Roman"/>
          <w:b/>
          <w:i w:val="false"/>
          <w:color w:val="000000"/>
          <w:sz w:val="22"/>
        </w:rPr>
        <w:t xml:space="preserve">(231E,633) </w:t>
      </w:r>
      <w:r>
        <w:rPr>
          <w:rFonts w:ascii="Times New Roman" w:hAnsi="Times New Roman"/>
          <w:b/>
          <w:i w:val="false"/>
          <w:color w:val="000000"/>
          <w:sz w:val="22"/>
        </w:rPr>
        <w:t xml:space="preserve">Termination or limitation. </w:t>
      </w:r>
      <w:r>
        <w:rPr>
          <w:rFonts w:ascii="Times New Roman" w:hAnsi="Times New Roman"/>
          <w:b w:val="false"/>
          <w:i w:val="false"/>
          <w:color w:val="000000"/>
          <w:sz w:val="22"/>
        </w:rPr>
        <w:t>Either a local office or the state office may seek the termination or limitation of a local office’s duties under circumstances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Public guardianship services are no longer needed or do not benefit the consumer;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consumer’s assets allow for hiring a paid guardianship or conservatorship service provider;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conflict of interest or the appearance of a conflict of interest arises;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state or local office lacks adequate staff or financial resources;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 moves outside the state or outside the local office’s service area;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state office is no longer the last resort for assistance;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local office withdraws from the service agreement;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Termination of the program by law; or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Other circumstances which indicate a need for termination or limitation.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17—22.12</w:t>
      </w:r>
      <w:r>
        <w:rPr>
          <w:rFonts w:ascii="Times New Roman" w:hAnsi="Times New Roman"/>
          <w:b/>
          <w:i w:val="false"/>
          <w:color w:val="000000"/>
          <w:sz w:val="22"/>
        </w:rPr>
        <w:t xml:space="preserve">(231E,633) </w:t>
      </w:r>
      <w:r>
        <w:rPr>
          <w:rFonts w:ascii="Times New Roman" w:hAnsi="Times New Roman"/>
          <w:b/>
          <w:i w:val="false"/>
          <w:color w:val="000000"/>
          <w:sz w:val="22"/>
        </w:rPr>
        <w:t xml:space="preserve">Service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val="false"/>
          <w:color w:val="000000"/>
          <w:sz w:val="22"/>
        </w:rPr>
        <w:t>The state public guardian and local public guardian shall be entitled to reasonable compensation for their public guardianship services as determined by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compensation shall not exceed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may be adjusted or waived based upon the ability of the consumer to pay, upon whether financial hardship to the consumer would result, or upon a finding that collection of such fees is not economically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Fees shall be as established in rule </w:t>
      </w:r>
      <w:hyperlink r:id="rId12">
        <w:r>
          <w:rPr>
            <w:rStyle w:val="Hyperlink"/>
            <w:rFonts w:ascii="Times New Roman" w:hAnsi="Times New Roman"/>
            <w:b w:val="false"/>
            <w:i w:val="false"/>
            <w:color w:val="000000"/>
            <w:sz w:val="22"/>
          </w:rPr>
          <w:t>17—22.13(231E,633)</w:t>
        </w:r>
      </w:hyperlink>
      <w:r>
        <w:rPr>
          <w:rFonts w:ascii="Times New Roman" w:hAnsi="Times New Roman"/>
          <w:b w:val="false"/>
          <w:i w:val="false"/>
          <w:color w:val="000000"/>
          <w:sz w:val="22"/>
        </w:rPr>
        <w:t>. The state office may collect a fee from the estate of a deceased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val="false"/>
          <w:color w:val="000000"/>
          <w:sz w:val="22"/>
        </w:rPr>
        <w:t>Fees shall not be assessed on income or support derived from Medicaid. Income or support derived from Social Security and other federal benefits shall be subject to assessment unless the funds have been expressly designated for another purpose. Written notice shall be given to the consumer prior to the collection of fees. The written notice shall describe the type and amount of fees assessed.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val="false"/>
          <w:color w:val="000000"/>
          <w:sz w:val="22"/>
        </w:rPr>
        <w:t>Case-opening fees. All consumers, except those receiving representative payee services, with liquid assets valued at $6,500 or more on the date of the public guardian’s appointment shall be assessed a one-time case-opening fee for establishment of the case by the local office. Case-opening fees shall be assessed for each appointment, including a reappointment more than six months after the termination of a prior appointment as public guardian for the same consumer which involves similar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22.12(4)</w:t>
      </w:r>
      <w:r>
        <w:rPr>
          <w:rFonts w:ascii="Times New Roman" w:hAnsi="Times New Roman"/>
          <w:b w:val="false"/>
          <w:i w:val="false"/>
          <w:color w:val="000000"/>
          <w:sz w:val="22"/>
        </w:rPr>
        <w:t> </w:t>
      </w:r>
      <w:r>
        <w:rPr>
          <w:rFonts w:ascii="Times New Roman" w:hAnsi="Times New Roman"/>
          <w:b w:val="false"/>
          <w:i w:val="false"/>
          <w:color w:val="000000"/>
          <w:sz w:val="22"/>
        </w:rPr>
        <w:t>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monthly fee for public guardianship services other than the sale or management of real or personal property shall be assessed against all consumers with liquid assets valued at $6,500 or more on any one day during the month. Monthly fees shall be collected by the state office on a pro rata basis on the first of each month. A monthly fee shall be assessed when a public guardian is appointed to guardianship, conservatorship, or representative payee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all cases where the state office serves as representative payee under programs administered by the Social Security Administration, Railroad Retirement Board, or similar programs, the monthly fee for providing representative payee services shall be as established by the federal governmental agency which appoints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22.12(5)</w:t>
      </w:r>
      <w:r>
        <w:rPr>
          <w:rFonts w:ascii="Times New Roman" w:hAnsi="Times New Roman"/>
          <w:b w:val="false"/>
          <w:i w:val="false"/>
          <w:color w:val="000000"/>
          <w:sz w:val="22"/>
        </w:rPr>
        <w:t> </w:t>
      </w:r>
      <w:r>
        <w:rPr>
          <w:rFonts w:ascii="Times New Roman" w:hAnsi="Times New Roman"/>
          <w:b w:val="false"/>
          <w:i w:val="false"/>
          <w:color w:val="000000"/>
          <w:sz w:val="22"/>
        </w:rPr>
        <w:t>Additional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for the sale of a consumer’s real or personal property shall be in addition to case-opening and monthly service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for the sale of real or personal property shall be 10 percent of the net proceeds resulting from the sale of the property and shall be paid at the time the sale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further allowances as are just and reasonable may be made by the court to public guardians for actual, necessary and extraordinary expenses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22.12(6)</w:t>
      </w:r>
      <w:r>
        <w:rPr>
          <w:rFonts w:ascii="Times New Roman" w:hAnsi="Times New Roman"/>
          <w:b w:val="false"/>
          <w:i w:val="false"/>
          <w:color w:val="000000"/>
          <w:sz w:val="22"/>
        </w:rPr>
        <w:t> </w:t>
      </w:r>
      <w:r>
        <w:rPr>
          <w:rFonts w:ascii="Times New Roman" w:hAnsi="Times New Roman"/>
          <w:b w:val="false"/>
          <w:i w:val="false"/>
          <w:color w:val="000000"/>
          <w:sz w:val="22"/>
        </w:rPr>
        <w:t>Preparation and filing of state or federal income tax returns. Fees for the preparation and filing of a consumer’s state or federal income tax return may be assessed at the time of filing of a return for each tax year in which a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22.12(7)</w:t>
      </w:r>
      <w:r>
        <w:rPr>
          <w:rFonts w:ascii="Times New Roman" w:hAnsi="Times New Roman"/>
          <w:b w:val="false"/>
          <w:i w:val="false"/>
          <w:color w:val="000000"/>
          <w:sz w:val="22"/>
        </w:rPr>
        <w:t> </w:t>
      </w:r>
      <w:r>
        <w:rPr>
          <w:rFonts w:ascii="Times New Roman" w:hAnsi="Times New Roman"/>
          <w:b w:val="false"/>
          <w:i w:val="false"/>
          <w:color w:val="000000"/>
          <w:sz w:val="22"/>
        </w:rPr>
        <w:t>Settlement of a personal injury cause of action. Fees for the settlement of a consumer’s personal injury cause of action may be collected upon court approval of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22.12(8)</w:t>
      </w:r>
      <w:r>
        <w:rPr>
          <w:rFonts w:ascii="Times New Roman" w:hAnsi="Times New Roman"/>
          <w:b w:val="false"/>
          <w:i w:val="false"/>
          <w:color w:val="000000"/>
          <w:sz w:val="22"/>
        </w:rPr>
        <w:t> </w:t>
      </w:r>
      <w:r>
        <w:rPr>
          <w:rFonts w:ascii="Times New Roman" w:hAnsi="Times New Roman"/>
          <w:b w:val="false"/>
          <w:i w:val="false"/>
          <w:color w:val="000000"/>
          <w:sz w:val="22"/>
        </w:rPr>
        <w:t>Establishment of a recognized trust. Fees for establishing a recognized trust for the purpose of conserving or protecting a consumer’s estate and for petitioning the court for the approval of the trust may be collected at the time of court approval of establishment of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22.12(9)</w:t>
      </w:r>
      <w:r>
        <w:rPr>
          <w:rFonts w:ascii="Times New Roman" w:hAnsi="Times New Roman"/>
          <w:b w:val="false"/>
          <w:i w:val="false"/>
          <w:color w:val="000000"/>
          <w:sz w:val="22"/>
        </w:rPr>
        <w:t> </w:t>
      </w:r>
      <w:r>
        <w:rPr>
          <w:rFonts w:ascii="Times New Roman" w:hAnsi="Times New Roman"/>
          <w:b w:val="false"/>
          <w:i w:val="false"/>
          <w:color w:val="000000"/>
          <w:sz w:val="22"/>
        </w:rPr>
        <w:t>Extraordinary expenses and services. The state office may collect fees pursuant to court order for other actual, necessary and extraordinary expenses or services. Necessary and extraordinary services shall be construed to also include services in connection with real estate, tax matters, and litigated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22.12(10)</w:t>
      </w:r>
      <w:r>
        <w:rPr>
          <w:rFonts w:ascii="Times New Roman" w:hAnsi="Times New Roman"/>
          <w:b w:val="false"/>
          <w:i w:val="false"/>
          <w:color w:val="000000"/>
          <w:sz w:val="22"/>
        </w:rPr>
        <w:t> </w:t>
      </w:r>
      <w:r>
        <w:rPr>
          <w:rFonts w:ascii="Times New Roman" w:hAnsi="Times New Roman"/>
          <w:b w:val="false"/>
          <w:i w:val="false"/>
          <w:color w:val="000000"/>
          <w:sz w:val="22"/>
        </w:rPr>
        <w:t>Impact on creditors. The state office may collect fees even when claims of creditors of the consumer may be compromised.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17—22.13</w:t>
      </w:r>
      <w:r>
        <w:rPr>
          <w:rFonts w:ascii="Times New Roman" w:hAnsi="Times New Roman"/>
          <w:b/>
          <w:i w:val="false"/>
          <w:color w:val="000000"/>
          <w:sz w:val="22"/>
        </w:rPr>
        <w:t xml:space="preserve">(231E,633) </w:t>
      </w:r>
      <w:r>
        <w:rPr>
          <w:rFonts w:ascii="Times New Roman" w:hAnsi="Times New Roman"/>
          <w:b/>
          <w:i w:val="false"/>
          <w:color w:val="000000"/>
          <w:sz w:val="22"/>
        </w:rPr>
        <w:t xml:space="preserve">Fee schedule. </w:t>
      </w:r>
      <w:r>
        <w:rPr>
          <w:rFonts w:ascii="Times New Roman" w:hAnsi="Times New Roman"/>
          <w:b w:val="false"/>
          <w:i w:val="false"/>
          <w:color w:val="000000"/>
          <w:sz w:val="22"/>
        </w:rPr>
        <w:t xml:space="preserve">The following fees are applicable to services provided by a public guardian unless reduced or waived pursuant to paragraph </w:t>
      </w:r>
      <w:hyperlink r:id="rId13">
        <w:r>
          <w:rPr>
            <w:rStyle w:val="Hyperlink"/>
            <w:rFonts w:ascii="Times New Roman" w:hAnsi="Times New Roman"/>
            <w:b w:val="false"/>
            <w:i w:val="false"/>
            <w:color w:val="000000"/>
            <w:sz w:val="22"/>
          </w:rPr>
          <w:t>22.12(1)</w:t>
        </w:r>
      </w:hyperlink>
      <w:r>
        <w:rPr>
          <w:rFonts w:ascii="Times New Roman" w:hAnsi="Times New Roman"/>
          <w:b w:val="false"/>
          <w:i/>
          <w:color w:val="000000"/>
          <w:sz w:val="22"/>
        </w:rPr>
        <w:t>“b.”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Action or Responsibility</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Fee</w:t>
            </w:r>
          </w:p>
        </w:tc>
      </w:tr>
      <w:tr>
        <w:trPr>
          <w:trHeight w:val="76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One-time case opening:</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Guardianship</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Conservatorship</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Guardianship and conservatorship</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$200</w:t>
            </w:r>
            <w:r>
              <w:br/>
            </w:r>
            <w:r>
              <w:rPr>
                <w:rFonts w:ascii="Times New Roman" w:hAnsi="Times New Roman"/>
                <w:b w:val="false"/>
                <w:i w:val="false"/>
                <w:color w:val="000000"/>
                <w:sz w:val="16"/>
              </w:rPr>
              <w:t>$300</w:t>
            </w:r>
            <w:r>
              <w:br/>
            </w:r>
            <w:r>
              <w:rPr>
                <w:rFonts w:ascii="Times New Roman" w:hAnsi="Times New Roman"/>
                <w:b w:val="false"/>
                <w:i w:val="false"/>
                <w:color w:val="000000"/>
                <w:sz w:val="16"/>
              </w:rPr>
              <w:t>$500</w:t>
            </w:r>
          </w:p>
        </w:tc>
      </w:tr>
      <w:tr>
        <w:trPr>
          <w:trHeight w:val="315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Monthly public guardianship services except representative payee.</w:t>
            </w:r>
            <w:r>
              <w:br/>
            </w:r>
            <w:r>
              <w:rPr>
                <w:rFonts w:ascii="Times New Roman" w:hAnsi="Times New Roman"/>
                <w:b w:val="false"/>
                <w:i w:val="false"/>
                <w:color w:val="000000"/>
                <w:sz w:val="16"/>
              </w:rPr>
              <w:t>Total value of liquid assets:</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$6,500 – $9,999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$10,000 – $19,999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$20,000 – $29,999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$30,000 – $39,999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$40,000 – $49,999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$50,000 – $59,999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$60,000 – $69,999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$70,000 – $79,999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$80,000 – $89,999</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$90,000 – $99,999</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 xml:space="preserve">$100,000 or above </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r>
              <w:br/>
            </w:r>
            <w:r>
              <w:rPr>
                <w:rFonts w:ascii="Times New Roman" w:hAnsi="Times New Roman"/>
                <w:b w:val="false"/>
                <w:i w:val="false"/>
                <w:color w:val="000000"/>
                <w:sz w:val="16"/>
              </w:rPr>
              <w:t> </w:t>
            </w:r>
            <w:r>
              <w:br/>
            </w:r>
            <w:r>
              <w:rPr>
                <w:rFonts w:ascii="Times New Roman" w:hAnsi="Times New Roman"/>
                <w:b w:val="false"/>
                <w:i w:val="false"/>
                <w:color w:val="000000"/>
                <w:sz w:val="16"/>
              </w:rPr>
              <w:t> </w:t>
            </w:r>
            <w:r>
              <w:br/>
            </w:r>
            <w:r>
              <w:rPr>
                <w:rFonts w:ascii="Times New Roman" w:hAnsi="Times New Roman"/>
                <w:b w:val="false"/>
                <w:i w:val="false"/>
                <w:color w:val="000000"/>
                <w:sz w:val="16"/>
              </w:rPr>
              <w:t>$100</w:t>
            </w:r>
            <w:r>
              <w:br/>
            </w:r>
            <w:r>
              <w:rPr>
                <w:rFonts w:ascii="Times New Roman" w:hAnsi="Times New Roman"/>
                <w:b w:val="false"/>
                <w:i w:val="false"/>
                <w:color w:val="000000"/>
                <w:sz w:val="16"/>
              </w:rPr>
              <w:t>$125</w:t>
            </w:r>
            <w:r>
              <w:br/>
            </w:r>
            <w:r>
              <w:rPr>
                <w:rFonts w:ascii="Times New Roman" w:hAnsi="Times New Roman"/>
                <w:b w:val="false"/>
                <w:i w:val="false"/>
                <w:color w:val="000000"/>
                <w:sz w:val="16"/>
              </w:rPr>
              <w:t>$150</w:t>
            </w:r>
            <w:r>
              <w:br/>
            </w:r>
            <w:r>
              <w:rPr>
                <w:rFonts w:ascii="Times New Roman" w:hAnsi="Times New Roman"/>
                <w:b w:val="false"/>
                <w:i w:val="false"/>
                <w:color w:val="000000"/>
                <w:sz w:val="16"/>
              </w:rPr>
              <w:t>$175</w:t>
            </w:r>
            <w:r>
              <w:br/>
            </w:r>
            <w:r>
              <w:rPr>
                <w:rFonts w:ascii="Times New Roman" w:hAnsi="Times New Roman"/>
                <w:b w:val="false"/>
                <w:i w:val="false"/>
                <w:color w:val="000000"/>
                <w:sz w:val="16"/>
              </w:rPr>
              <w:t>$200</w:t>
            </w:r>
            <w:r>
              <w:br/>
            </w:r>
            <w:r>
              <w:rPr>
                <w:rFonts w:ascii="Times New Roman" w:hAnsi="Times New Roman"/>
                <w:b w:val="false"/>
                <w:i w:val="false"/>
                <w:color w:val="000000"/>
                <w:sz w:val="16"/>
              </w:rPr>
              <w:t>$225</w:t>
            </w:r>
            <w:r>
              <w:br/>
            </w:r>
            <w:r>
              <w:rPr>
                <w:rFonts w:ascii="Times New Roman" w:hAnsi="Times New Roman"/>
                <w:b w:val="false"/>
                <w:i w:val="false"/>
                <w:color w:val="000000"/>
                <w:sz w:val="16"/>
              </w:rPr>
              <w:t>$250</w:t>
            </w:r>
            <w:r>
              <w:br/>
            </w:r>
            <w:r>
              <w:rPr>
                <w:rFonts w:ascii="Times New Roman" w:hAnsi="Times New Roman"/>
                <w:b w:val="false"/>
                <w:i w:val="false"/>
                <w:color w:val="000000"/>
                <w:sz w:val="16"/>
              </w:rPr>
              <w:t>$275</w:t>
            </w:r>
            <w:r>
              <w:br/>
            </w:r>
            <w:r>
              <w:rPr>
                <w:rFonts w:ascii="Times New Roman" w:hAnsi="Times New Roman"/>
                <w:b w:val="false"/>
                <w:i w:val="false"/>
                <w:color w:val="000000"/>
                <w:sz w:val="16"/>
              </w:rPr>
              <w:t>$300</w:t>
            </w:r>
            <w:r>
              <w:br/>
            </w:r>
            <w:r>
              <w:rPr>
                <w:rFonts w:ascii="Times New Roman" w:hAnsi="Times New Roman"/>
                <w:b w:val="false"/>
                <w:i w:val="false"/>
                <w:color w:val="000000"/>
                <w:sz w:val="16"/>
              </w:rPr>
              <w:t>$325</w:t>
            </w:r>
            <w:r>
              <w:br/>
            </w:r>
            <w:r>
              <w:rPr>
                <w:rFonts w:ascii="Times New Roman" w:hAnsi="Times New Roman"/>
                <w:b w:val="false"/>
                <w:i w:val="false"/>
                <w:color w:val="000000"/>
                <w:sz w:val="16"/>
              </w:rPr>
              <w:t>$350</w:t>
            </w:r>
          </w:p>
        </w:tc>
      </w:tr>
      <w:tr>
        <w:trPr>
          <w:trHeight w:val="7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Preparation and filing of income tax returns:</w:t>
            </w:r>
            <w:r>
              <w:br/>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Each federal return</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Each state return</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br/>
            </w:r>
            <w:r>
              <w:rPr>
                <w:rFonts w:ascii="Times New Roman" w:hAnsi="Times New Roman"/>
                <w:b w:val="false"/>
                <w:i w:val="false"/>
                <w:color w:val="000000"/>
                <w:sz w:val="16"/>
              </w:rPr>
              <w:t>$50</w:t>
            </w:r>
            <w:r>
              <w:br/>
            </w:r>
            <w:r>
              <w:rPr>
                <w:rFonts w:ascii="Times New Roman" w:hAnsi="Times New Roman"/>
                <w:b w:val="false"/>
                <w:i w:val="false"/>
                <w:color w:val="000000"/>
                <w:sz w:val="16"/>
              </w:rPr>
              <w:t>$25</w:t>
            </w:r>
          </w:p>
        </w:tc>
      </w:tr>
      <w:tr>
        <w:trPr>
          <w:trHeight w:val="5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Settlement of a personal injury cause of action:</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Each cause of action approved by the probate court</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br/>
            </w:r>
            <w:r>
              <w:rPr>
                <w:rFonts w:ascii="Times New Roman" w:hAnsi="Times New Roman"/>
                <w:b w:val="false"/>
                <w:i w:val="false"/>
                <w:color w:val="000000"/>
                <w:sz w:val="16"/>
              </w:rPr>
              <w:t>$250</w:t>
            </w:r>
          </w:p>
        </w:tc>
      </w:tr>
      <w:tr>
        <w:trPr>
          <w:trHeight w:val="8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Establishment of a recognized trust for the consumer’s financial estate:</w:t>
            </w:r>
            <w:r>
              <w:br/>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Each trust</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br/>
            </w:r>
            <w:r>
              <w:rPr>
                <w:rFonts w:ascii="Times New Roman" w:hAnsi="Times New Roman"/>
                <w:b w:val="false"/>
                <w:i w:val="false"/>
                <w:color w:val="000000"/>
                <w:sz w:val="16"/>
              </w:rPr>
              <w:t>$250</w:t>
            </w:r>
          </w:p>
        </w:tc>
      </w:tr>
      <w:tr>
        <w:trPr>
          <w:trHeight w:val="4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Representative payee—monthly fee</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determined by the federal governmental agency that appoints the representative payee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17—22.14</w:t>
      </w:r>
      <w:r>
        <w:rPr>
          <w:rFonts w:ascii="Times New Roman" w:hAnsi="Times New Roman"/>
          <w:b/>
          <w:i w:val="false"/>
          <w:color w:val="000000"/>
          <w:sz w:val="22"/>
        </w:rPr>
        <w:t xml:space="preserve">(231E,633) </w:t>
      </w:r>
      <w:r>
        <w:rPr>
          <w:rFonts w:ascii="Times New Roman" w:hAnsi="Times New Roman"/>
          <w:b/>
          <w:i w:val="false"/>
          <w:color w:val="000000"/>
          <w:sz w:val="22"/>
        </w:rPr>
        <w:t xml:space="preserve">Denial of services—appeal. </w:t>
      </w:r>
      <w:r>
        <w:rPr>
          <w:rFonts w:ascii="Times New Roman" w:hAnsi="Times New Roman"/>
          <w:b w:val="false"/>
          <w:i w:val="false"/>
          <w:color w:val="000000"/>
          <w:sz w:val="22"/>
        </w:rPr>
        <w:t xml:space="preserve">An appeal from a consumer regarding denial of services shall be made pursuant to </w:t>
      </w:r>
      <w:hyperlink r:id="rId14">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17—22.15</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Contesting the actions of a guardian or conservator.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Consumers who wish to contest the actions of a guardian or conservator may express their concerns to the state office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Within two working days of receipt of the concern, the state office shall notify the consumer of its decision to uphold or change the course of action taken by the guardian or conservator. The state office shall notify the consumer both verbally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office shall explain to the consumer, in a manner that the consumer fully understands, that the consumer has the right to counsel and the right to appeal the state office’s decision pursuant to </w:t>
      </w:r>
      <w:hyperlink r:id="rId15">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17—22.16</w:t>
      </w:r>
      <w:r>
        <w:rPr>
          <w:rFonts w:ascii="Times New Roman" w:hAnsi="Times New Roman"/>
          <w:b/>
          <w:i w:val="false"/>
          <w:color w:val="000000"/>
          <w:sz w:val="22"/>
        </w:rPr>
        <w:t xml:space="preserve">(231E,633)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subrule, paragraph, phrase, sentence or clause of this chapter be declared invalid or unconstitutional for any reason, the remainder of this chapter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4880C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3484C</w:t>
      </w:r>
      <w:r>
        <w:rPr>
          <w:rFonts w:ascii="Times New Roman" w:hAnsi="Times New Roman"/>
          <w:b w:val="false"/>
          <w:i w:val="false"/>
          <w:color w:val="000000"/>
          <w:sz w:val="21"/>
        </w:rPr>
        <w:t xml:space="preserve"> (Notice ARC 3324C,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4880C</w:t>
      </w:r>
      <w:r>
        <w:rPr>
          <w:rFonts w:ascii="Times New Roman" w:hAnsi="Times New Roman"/>
          <w:b w:val="false"/>
          <w:i w:val="false"/>
          <w:color w:val="000000"/>
          <w:sz w:val="21"/>
        </w:rPr>
        <w:t xml:space="preserve"> (Notice ARC 4550C, IAB 7/17/19)</w:t>
      </w:r>
      <w:r>
        <w:rPr>
          <w:rFonts w:ascii="Times New Roman" w:hAnsi="Times New Roman"/>
          <w:b w:val="false"/>
          <w:i w:val="false"/>
          <w:color w:val="000000"/>
          <w:sz w:val="21"/>
        </w:rPr>
        <w:t>, IAB 1/15/20, effective 2/19/20]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E.pdf" Type="http://schemas.openxmlformats.org/officeDocument/2006/relationships/hyperlink" Id="rId5"/>
    <Relationship TargetMode="External" Target="https://www.legis.iowa.gov/docs/iac/chapter/17.1.pdf" Type="http://schemas.openxmlformats.org/officeDocument/2006/relationships/hyperlink" Id="rId6"/>
    <Relationship TargetMode="External" Target="https://www.legis.iowa.gov/docs/ico/chapter/231.21.pdf" Type="http://schemas.openxmlformats.org/officeDocument/2006/relationships/hyperlink" Id="rId7"/>
    <Relationship TargetMode="External" Target="https://www.legis.iowa.gov/docs/iac/rule/17.22.7.pdf" Type="http://schemas.openxmlformats.org/officeDocument/2006/relationships/hyperlink" Id="rId8"/>
    <Relationship TargetMode="External" Target="https://www.legis.iowa.gov/docs/ico/chapter/231E.4.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ac/rule/17.22.13.pdf" Type="http://schemas.openxmlformats.org/officeDocument/2006/relationships/hyperlink" Id="rId12"/>
    <Relationship TargetMode="External" Target="https://www.legis.iowa.gov/docs/iac/rule/17.22.12.pdf" Type="http://schemas.openxmlformats.org/officeDocument/2006/relationships/hyperlink" Id="rId13"/>
    <Relationship TargetMode="External" Target="https://www.legis.iowa.gov/docs/iac/chapter/17.13.pdf" Type="http://schemas.openxmlformats.org/officeDocument/2006/relationships/hyperlink" Id="rId14"/>
    <Relationship TargetMode="External" Target="https://www.legis.iowa.gov/docs/iac/chapter/17.13.pdf" Type="http://schemas.openxmlformats.org/officeDocument/2006/relationships/hyperlink" Id="rId15"/>
    <Relationship TargetMode="External" Target="https://www.legis.iowa.gov/docs/ico/chapter/231E.pdf" Type="http://schemas.openxmlformats.org/officeDocument/2006/relationships/hyperlink" Id="rId16"/>
    <Relationship TargetMode="External" Target="https://www.legis.iowa.gov/docs/ico/chapter/63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