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THE SERVICE OF CASE MANAGEMENT</w:t>
      </w:r>
    </w:p>
    <w:p>
      <w:pPr>
        <w:spacing w:before="0" w:after="0"/>
        <w:ind w:left="120"/>
        <w:jc w:val="left"/>
      </w:pPr>
    </w:p>
    <w:p>
      <w:pPr>
        <w:spacing w:before="0" w:after="0"/>
        <w:ind w:left="120"/>
        <w:jc w:val="center"/>
      </w:pPr>
      <w:r>
        <w:rPr>
          <w:rFonts w:ascii="Times New Roman" w:hAnsi="Times New Roman"/>
          <w:b w:val="false"/>
          <w:i w:val="false"/>
          <w:color w:val="000000"/>
          <w:sz w:val="14"/>
        </w:rPr>
        <w:t>[Prior to 1/27/10, see Elder Affairs Department[321] Ch 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17—21.1</w:t>
      </w:r>
      <w:r>
        <w:rPr>
          <w:rFonts w:ascii="Times New Roman" w:hAnsi="Times New Roman"/>
          <w:b/>
          <w:i w:val="false"/>
          <w:color w:val="000000"/>
          <w:sz w:val="22"/>
        </w:rPr>
        <w:t xml:space="preserve">(231) </w:t>
      </w:r>
      <w:r>
        <w:rPr>
          <w:rFonts w:ascii="Times New Roman" w:hAnsi="Times New Roman"/>
          <w:b/>
          <w:i w:val="false"/>
          <w:color w:val="000000"/>
          <w:sz w:val="22"/>
        </w:rPr>
        <w:t xml:space="preserve">Authority. </w:t>
      </w:r>
      <w:r>
        <w:rPr>
          <w:rFonts w:ascii="Times New Roman" w:hAnsi="Times New Roman"/>
          <w:b w:val="false"/>
          <w:i w:val="false"/>
          <w:color w:val="000000"/>
          <w:sz w:val="22"/>
        </w:rPr>
        <w:t xml:space="preserve">This chapter implements the service of case management as provided in Iowa Code section </w:t>
      </w:r>
      <w:hyperlink r:id="rId5">
        <w:r>
          <w:rPr>
            <w:rStyle w:val="Hyperlink"/>
            <w:rFonts w:ascii="Times New Roman" w:hAnsi="Times New Roman"/>
            <w:b w:val="false"/>
            <w:i w:val="false"/>
            <w:color w:val="000000"/>
            <w:sz w:val="22"/>
          </w:rPr>
          <w:t>231.23A</w:t>
        </w:r>
      </w:hyperlink>
      <w:r>
        <w:rPr>
          <w:rFonts w:ascii="Times New Roman" w:hAnsi="Times New Roman"/>
          <w:b w:val="false"/>
          <w:i w:val="false"/>
          <w:color w:val="000000"/>
          <w:sz w:val="22"/>
        </w:rPr>
        <w:t xml:space="preserve"> and the federal Older Americans Act (OAA).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2976C</w:t>
      </w:r>
      <w:r>
        <w:rPr>
          <w:rFonts w:ascii="Times New Roman" w:hAnsi="Times New Roman"/>
          <w:b w:val="false"/>
          <w:i w:val="false"/>
          <w:color w:val="000000"/>
          <w:sz w:val="16"/>
        </w:rPr>
        <w:t>, IAB 3/15/17,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17—21.2</w:t>
      </w:r>
      <w:r>
        <w:rPr>
          <w:rFonts w:ascii="Times New Roman" w:hAnsi="Times New Roman"/>
          <w:b/>
          <w:i w:val="false"/>
          <w:color w:val="000000"/>
          <w:sz w:val="22"/>
        </w:rPr>
        <w:t xml:space="preserve">(231) </w:t>
      </w:r>
      <w:r>
        <w:rPr>
          <w:rFonts w:ascii="Times New Roman" w:hAnsi="Times New Roman"/>
          <w:b/>
          <w:i w:val="false"/>
          <w:color w:val="000000"/>
          <w:sz w:val="22"/>
        </w:rPr>
        <w:t xml:space="preserve">Purpose. </w:t>
      </w:r>
      <w:r>
        <w:rPr>
          <w:rFonts w:ascii="Times New Roman" w:hAnsi="Times New Roman"/>
          <w:b w:val="false"/>
          <w:i w:val="false"/>
          <w:color w:val="000000"/>
          <w:sz w:val="22"/>
        </w:rPr>
        <w:t>This chapter sets out client eligibility, covered services, program administration and program standards to assist clients in coordinating the use of the long-term living continuum which ranges from the independent access of congregate services to the delivery of support services in the home or through facility-based care for the clients served. The service of case management is designed to promote and support independent living of older Iowans funded through Title III (Grants to State and Community Programs on Aging) of the OAA or state funds distributed to the area agencies on aging (AAA) based upon their current area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2976C</w:t>
      </w:r>
      <w:r>
        <w:rPr>
          <w:rFonts w:ascii="Times New Roman" w:hAnsi="Times New Roman"/>
          <w:b w:val="false"/>
          <w:i w:val="false"/>
          <w:color w:val="000000"/>
          <w:sz w:val="16"/>
        </w:rPr>
        <w:t>, IAB 3/15/17,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17—21.3</w:t>
      </w:r>
      <w:r>
        <w:rPr>
          <w:rFonts w:ascii="Times New Roman" w:hAnsi="Times New Roman"/>
          <w:b/>
          <w:i w:val="false"/>
          <w:color w:val="000000"/>
          <w:sz w:val="22"/>
        </w:rPr>
        <w:t xml:space="preserve">(231) </w:t>
      </w:r>
      <w:r>
        <w:rPr>
          <w:rFonts w:ascii="Times New Roman" w:hAnsi="Times New Roman"/>
          <w:b/>
          <w:i w:val="false"/>
          <w:color w:val="000000"/>
          <w:sz w:val="22"/>
        </w:rPr>
        <w:t xml:space="preserve">General requirements for providers of case management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to provide the service of case management. </w:t>
      </w:r>
      <w:r>
        <w:rPr>
          <w:rFonts w:ascii="Times New Roman" w:hAnsi="Times New Roman"/>
          <w:b w:val="false"/>
          <w:i w:val="false"/>
          <w:color w:val="000000"/>
          <w:sz w:val="22"/>
        </w:rPr>
        <w:t>An individual providing the service of case management shall have, at a minimum, one of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bachelor’s degree in the human services field including, but not limited to, social work, sociology, special education, rehabilitation counseling, and psychology.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associate’s degree and two years of full-time equivalent work experience in a human services field involving direct contact with service to people in overcoming social, economic, psychological or health problems.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 as a registered nurse in Iowa.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requirements for the provider of the service of case management. </w:t>
      </w:r>
      <w:r>
        <w:rPr>
          <w:rFonts w:ascii="Times New Roman" w:hAnsi="Times New Roman"/>
          <w:b w:val="false"/>
          <w:i w:val="false"/>
          <w:color w:val="000000"/>
          <w:sz w:val="22"/>
        </w:rPr>
        <w:t>An individual providing the service of case management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Attend during the term of employment annual and other case management training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Obtain eight hours of relevant training annually. If eight hours of training are not provided in accordance with paragraph 21.3(2)</w:t>
      </w:r>
      <w:r>
        <w:rPr>
          <w:rFonts w:ascii="Times New Roman" w:hAnsi="Times New Roman"/>
          <w:b w:val="false"/>
          <w:i/>
          <w:color w:val="000000"/>
          <w:sz w:val="22"/>
        </w:rPr>
        <w:t>“a,”</w:t>
      </w:r>
      <w:r>
        <w:rPr>
          <w:rFonts w:ascii="Times New Roman" w:hAnsi="Times New Roman"/>
          <w:b w:val="false"/>
          <w:i w:val="false"/>
          <w:color w:val="000000"/>
          <w:sz w:val="22"/>
        </w:rPr>
        <w:t xml:space="preserve"> the individual shall document training related to the provision of geriatric case management. Documentation shall be included in the individual’s personnel record.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the mandatory reporter requirements within 90 business days of hiring in accordance with Iowa Code chapter </w:t>
      </w:r>
      <w:hyperlink r:id="rId6">
        <w:r>
          <w:rPr>
            <w:rStyle w:val="Hyperlink"/>
            <w:rFonts w:ascii="Times New Roman" w:hAnsi="Times New Roman"/>
            <w:b w:val="false"/>
            <w:i w:val="false"/>
            <w:color w:val="000000"/>
            <w:sz w:val="22"/>
          </w:rPr>
          <w:t>235B</w:t>
        </w:r>
      </w:hyperlink>
      <w:r>
        <w:rPr>
          <w:rFonts w:ascii="Times New Roman" w:hAnsi="Times New Roman"/>
          <w:b w:val="false"/>
          <w:i w:val="false"/>
          <w:color w:val="000000"/>
          <w:sz w:val="22"/>
        </w:rPr>
        <w:t>. Each AAA shall ensure that all providers of the service of case management meet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w:t>
      </w:r>
      <w:r>
        <w:rPr>
          <w:rFonts w:ascii="Times New Roman" w:hAnsi="Times New Roman"/>
          <w:b w:val="false"/>
          <w:i w:val="false"/>
          <w:color w:val="000000"/>
          <w:sz w:val="22"/>
        </w:rPr>
        <w:t> </w:t>
      </w:r>
      <w:r>
        <w:rPr>
          <w:rFonts w:ascii="Times New Roman" w:hAnsi="Times New Roman"/>
          <w:b w:val="false"/>
          <w:i/>
          <w:color w:val="000000"/>
          <w:sz w:val="22"/>
        </w:rPr>
        <w:t xml:space="preserve">Background checks. </w:t>
      </w:r>
      <w:r>
        <w:rPr>
          <w:rFonts w:ascii="Times New Roman" w:hAnsi="Times New Roman"/>
          <w:b w:val="false"/>
          <w:i w:val="false"/>
          <w:color w:val="000000"/>
          <w:sz w:val="22"/>
        </w:rPr>
        <w:t>Each AAA shall ensure and document that, prior to beginning employment, every potential provider of the service of case management shall have successfully completed a criminal history background check and child and dependent adult abuse record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background check includes, at a minimum, a request that the Iowa department of public safety perform a criminal history background check and that the department of human services perform child and dependent adult abuse record checks of every potential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potential provider has an unfavorable criminal history background check or child and dependent adult abuse record check, the potential provider shall not provide services under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21.3(4)</w:t>
      </w:r>
      <w:r>
        <w:rPr>
          <w:rFonts w:ascii="Times New Roman" w:hAnsi="Times New Roman"/>
          <w:b w:val="false"/>
          <w:i w:val="false"/>
          <w:color w:val="000000"/>
          <w:sz w:val="22"/>
        </w:rPr>
        <w:t> </w:t>
      </w:r>
      <w:r>
        <w:rPr>
          <w:rFonts w:ascii="Times New Roman" w:hAnsi="Times New Roman"/>
          <w:b w:val="false"/>
          <w:i/>
          <w:color w:val="000000"/>
          <w:sz w:val="22"/>
        </w:rPr>
        <w:t xml:space="preserve">Contracting for case management services. </w:t>
      </w:r>
      <w:r>
        <w:rPr>
          <w:rFonts w:ascii="Times New Roman" w:hAnsi="Times New Roman"/>
          <w:b w:val="false"/>
          <w:i w:val="false"/>
          <w:color w:val="000000"/>
          <w:sz w:val="22"/>
        </w:rPr>
        <w:t>An AAA may contract for the provision of the service of case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contractor and the individual providing the service of case management shall be subject to and comply with any applicable state or federal laws and regulations, including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monitoring purposes, the department shall have access to all records related to the service of case management and all related facilities of the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AAA shall monitor the contractor in accordance with rule </w:t>
      </w:r>
      <w:hyperlink r:id="rId7">
        <w:r>
          <w:rPr>
            <w:rStyle w:val="Hyperlink"/>
            <w:rFonts w:ascii="Times New Roman" w:hAnsi="Times New Roman"/>
            <w:b w:val="false"/>
            <w:i w:val="false"/>
            <w:color w:val="000000"/>
            <w:sz w:val="22"/>
          </w:rPr>
          <w:t>17—6.10</w:t>
        </w:r>
      </w:hyperlink>
      <w:r>
        <w:rPr>
          <w:rFonts w:ascii="Times New Roman" w:hAnsi="Times New Roman"/>
          <w:b w:val="false"/>
          <w:i w:val="false"/>
          <w:color w:val="000000"/>
          <w:sz w:val="22"/>
        </w:rPr>
        <w:t>(231).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2976C</w:t>
      </w:r>
      <w:r>
        <w:rPr>
          <w:rFonts w:ascii="Times New Roman" w:hAnsi="Times New Roman"/>
          <w:b w:val="false"/>
          <w:i w:val="false"/>
          <w:color w:val="000000"/>
          <w:sz w:val="16"/>
        </w:rPr>
        <w:t>, IAB 3/15/17,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17—21.4</w:t>
      </w:r>
      <w:r>
        <w:rPr>
          <w:rFonts w:ascii="Times New Roman" w:hAnsi="Times New Roman"/>
          <w:b/>
          <w:i w:val="false"/>
          <w:color w:val="000000"/>
          <w:sz w:val="22"/>
        </w:rPr>
        <w:t xml:space="preserve">(231) </w:t>
      </w:r>
      <w:r>
        <w:rPr>
          <w:rFonts w:ascii="Times New Roman" w:hAnsi="Times New Roman"/>
          <w:b/>
          <w:i w:val="false"/>
          <w:color w:val="000000"/>
          <w:sz w:val="22"/>
        </w:rPr>
        <w:t xml:space="preserve">Case management service activities. </w:t>
      </w:r>
      <w:r>
        <w:rPr>
          <w:rFonts w:ascii="Times New Roman" w:hAnsi="Times New Roman"/>
          <w:b w:val="false"/>
          <w:i w:val="false"/>
          <w:color w:val="000000"/>
          <w:sz w:val="22"/>
        </w:rPr>
        <w:t>Case management service activities include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color w:val="000000"/>
          <w:sz w:val="22"/>
        </w:rPr>
        <w:t xml:space="preserve">Client identification. </w:t>
      </w:r>
      <w:r>
        <w:rPr>
          <w:rFonts w:ascii="Times New Roman" w:hAnsi="Times New Roman"/>
          <w:b w:val="false"/>
          <w:i w:val="false"/>
          <w:color w:val="000000"/>
          <w:sz w:val="22"/>
        </w:rPr>
        <w:t>The provider of the service of case management may identify clients through public education, awareness, and outreach.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color w:val="000000"/>
          <w:sz w:val="22"/>
        </w:rPr>
        <w:t xml:space="preserve">Intake. </w:t>
      </w:r>
      <w:r>
        <w:rPr>
          <w:rFonts w:ascii="Times New Roman" w:hAnsi="Times New Roman"/>
          <w:b w:val="false"/>
          <w:i w:val="false"/>
          <w:color w:val="000000"/>
          <w:sz w:val="22"/>
        </w:rPr>
        <w:t>The provider of the service of case management shall follow a defined intake process developed or approved by the department. To become eligible for the service of case management, a potential client with case management needs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 legal resident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aged 60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in need of the service of case management based on a needs assessment as described in subrule 21.4(3);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funded through Title III (Grants to State and Community Programs on Aging) of the OAA or state funds distributed to the AAA based upon their current area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 be entitled to receive case management services or case management service reimbursement from another 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21.4(3)</w:t>
      </w:r>
      <w:r>
        <w:rPr>
          <w:rFonts w:ascii="Times New Roman" w:hAnsi="Times New Roman"/>
          <w:b w:val="false"/>
          <w:i w:val="false"/>
          <w:color w:val="000000"/>
          <w:sz w:val="22"/>
        </w:rPr>
        <w:t> </w:t>
      </w:r>
      <w:r>
        <w:rPr>
          <w:rFonts w:ascii="Times New Roman" w:hAnsi="Times New Roman"/>
          <w:b w:val="false"/>
          <w:i/>
          <w:color w:val="000000"/>
          <w:sz w:val="22"/>
        </w:rPr>
        <w:t xml:space="preserve">Needs assessment. </w:t>
      </w:r>
      <w:r>
        <w:rPr>
          <w:rFonts w:ascii="Times New Roman" w:hAnsi="Times New Roman"/>
          <w:b w:val="false"/>
          <w:i w:val="false"/>
          <w:color w:val="000000"/>
          <w:sz w:val="22"/>
        </w:rPr>
        <w:t xml:space="preserve">A face-to-face comprehensive assessment, utilizing a standardized tool developed or approved by the department and preferably conducted in the client’s home or place of residence, must be conducted for each case management client to identify the conditions and needs of the client and to establish goals for services provided.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21.4(4)</w:t>
      </w:r>
      <w:r>
        <w:rPr>
          <w:rFonts w:ascii="Times New Roman" w:hAnsi="Times New Roman"/>
          <w:b w:val="false"/>
          <w:i w:val="false"/>
          <w:color w:val="000000"/>
          <w:sz w:val="22"/>
        </w:rPr>
        <w:t> </w:t>
      </w:r>
      <w:r>
        <w:rPr>
          <w:rFonts w:ascii="Times New Roman" w:hAnsi="Times New Roman"/>
          <w:b w:val="false"/>
          <w:i/>
          <w:color w:val="000000"/>
          <w:sz w:val="22"/>
        </w:rPr>
        <w:t xml:space="preserve">Service plan development. </w:t>
      </w:r>
      <w:r>
        <w:rPr>
          <w:rFonts w:ascii="Times New Roman" w:hAnsi="Times New Roman"/>
          <w:b w:val="false"/>
          <w:i w:val="false"/>
          <w:color w:val="000000"/>
          <w:sz w:val="22"/>
        </w:rPr>
        <w:t>Based on a standardized form developed or approved by the department, a written service plan shall be prepared for each client. The service plan shall utilize appropriate and available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service plan shall be developed within 20 calendar days of the needs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service plan shall identify available services and problem-solving efforts to meet the client’s determined needs and to enable the client to live with maximum possible independence.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service plan shall be given to the client or the client’s legal representative and shall be documented in the client’s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21.4(5)</w:t>
      </w:r>
      <w:r>
        <w:rPr>
          <w:rFonts w:ascii="Times New Roman" w:hAnsi="Times New Roman"/>
          <w:b w:val="false"/>
          <w:i w:val="false"/>
          <w:color w:val="000000"/>
          <w:sz w:val="22"/>
        </w:rPr>
        <w:t> </w:t>
      </w:r>
      <w:r>
        <w:rPr>
          <w:rFonts w:ascii="Times New Roman" w:hAnsi="Times New Roman"/>
          <w:b w:val="false"/>
          <w:i/>
          <w:color w:val="000000"/>
          <w:sz w:val="22"/>
        </w:rPr>
        <w:t xml:space="preserve">Service plan implementation. </w:t>
      </w:r>
      <w:r>
        <w:rPr>
          <w:rFonts w:ascii="Times New Roman" w:hAnsi="Times New Roman"/>
          <w:b w:val="false"/>
          <w:i w:val="false"/>
          <w:color w:val="000000"/>
          <w:sz w:val="22"/>
        </w:rPr>
        <w:t xml:space="preserve">A referral of the client to an appropriate resource for service provision and problem resolution shall be made and documented in the client’s file. If the referral is made to an informal network (e.g., family, friends), the service and problem-solving arrangement agreed to regarding duties and responsibilities shall be documented in the client’s service plan. The following services shall be performed for each client, as appropriate and needed: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Active intervention and advocacy on behalf of the client to access necessary services from community organizations and to resolve problems experienced by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Establishment of connections with service providers for the prompt and effective delivery of services needed by the client, including submission of instructions for service delivery to the appropriate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Encouragement of informal care given by individuals, family, friends, neighbors, and community organizations, so that publicly supported services supplement rather than supplant the roles and responsibilities of these natural support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21.4(6)</w:t>
      </w:r>
      <w:r>
        <w:rPr>
          <w:rFonts w:ascii="Times New Roman" w:hAnsi="Times New Roman"/>
          <w:b w:val="false"/>
          <w:i w:val="false"/>
          <w:color w:val="000000"/>
          <w:sz w:val="22"/>
        </w:rPr>
        <w:t> </w:t>
      </w:r>
      <w:r>
        <w:rPr>
          <w:rFonts w:ascii="Times New Roman" w:hAnsi="Times New Roman"/>
          <w:b w:val="false"/>
          <w:i/>
          <w:color w:val="000000"/>
          <w:sz w:val="22"/>
        </w:rPr>
        <w:t xml:space="preserve">Follow-up and reassessment of client status.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Follow-up. </w:t>
      </w:r>
      <w:r>
        <w:rPr>
          <w:rFonts w:ascii="Times New Roman" w:hAnsi="Times New Roman"/>
          <w:b w:val="false"/>
          <w:i w:val="false"/>
          <w:color w:val="000000"/>
          <w:sz w:val="22"/>
        </w:rPr>
        <w:t>Monthly monitoring of each client shall be conducted through telephone or face-to-face contact to ensure prompt and effective service delivery and response to changes in the client’s needs and status. All follow-up shall be documented in the client’s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Reassessment. </w:t>
      </w:r>
      <w:r>
        <w:rPr>
          <w:rFonts w:ascii="Times New Roman" w:hAnsi="Times New Roman"/>
          <w:b w:val="false"/>
          <w:i w:val="false"/>
          <w:color w:val="000000"/>
          <w:sz w:val="22"/>
        </w:rPr>
        <w:t>A face-to-face needs assessment of the client’s condition and needs must be conducted in accordance with subrule 21.4(3), preferably in the home of the client, no later than the twelfth month from the last completed needs assessment. This needs assessment must be conducted more frequently if a change in the client’s circumstances is identified in a follow-up or a report from a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21.4(7)</w:t>
      </w:r>
      <w:r>
        <w:rPr>
          <w:rFonts w:ascii="Times New Roman" w:hAnsi="Times New Roman"/>
          <w:b w:val="false"/>
          <w:i w:val="false"/>
          <w:color w:val="000000"/>
          <w:sz w:val="22"/>
        </w:rPr>
        <w:t> </w:t>
      </w:r>
      <w:r>
        <w:rPr>
          <w:rFonts w:ascii="Times New Roman" w:hAnsi="Times New Roman"/>
          <w:b w:val="false"/>
          <w:i/>
          <w:color w:val="000000"/>
          <w:sz w:val="22"/>
        </w:rPr>
        <w:t xml:space="preserve">Client discharge.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client shall be discharged from the service of case management when any one of the following situations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client 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client moves out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client moves into a nursing facility and the stay is expected to be permanent;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client or the client’s legal representative requests termination of case management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client is unwilling or unable to adhere to the agreed-upon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client or the client’s legal representative refuses to provide access to information necessary for the development or implementation of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service provider determines that the client’s needs cannot be met in a way that ensures the client’s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service provider determines that the client’s goals are achieved and the client no longer requires the service of case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client becomes eligible for a comparable case management service from another funding source;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 The AAA determines that funding is no longer available to provide the service of case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point of contact identified by the AAA shall be notified of and approve all discharges prior to initiation of discharge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discharge is due to the circumstances given in subparagraphs 21.4(7)</w:t>
      </w:r>
      <w:r>
        <w:rPr>
          <w:rFonts w:ascii="Times New Roman" w:hAnsi="Times New Roman"/>
          <w:b w:val="false"/>
          <w:i/>
          <w:color w:val="000000"/>
          <w:sz w:val="22"/>
        </w:rPr>
        <w:t>“a”</w:t>
      </w:r>
      <w:r>
        <w:rPr>
          <w:rFonts w:ascii="Times New Roman" w:hAnsi="Times New Roman"/>
          <w:b w:val="false"/>
          <w:i w:val="false"/>
          <w:color w:val="000000"/>
          <w:sz w:val="22"/>
        </w:rPr>
        <w:t>(5) to 21.4(7)</w:t>
      </w:r>
      <w:r>
        <w:rPr>
          <w:rFonts w:ascii="Times New Roman" w:hAnsi="Times New Roman"/>
          <w:b w:val="false"/>
          <w:i/>
          <w:color w:val="000000"/>
          <w:sz w:val="22"/>
        </w:rPr>
        <w:t>“a”</w:t>
      </w:r>
      <w:r>
        <w:rPr>
          <w:rFonts w:ascii="Times New Roman" w:hAnsi="Times New Roman"/>
          <w:b w:val="false"/>
          <w:i w:val="false"/>
          <w:color w:val="000000"/>
          <w:sz w:val="22"/>
        </w:rPr>
        <w:t xml:space="preserve">(9), the AAA providing the service of case management shall provide a 30-day written notice to the client or the client’s legal representative stating the reasons for the discharge from case management and include the process for appealing the decision in accordance with rule </w:t>
      </w:r>
      <w:hyperlink r:id="rId8">
        <w:r>
          <w:rPr>
            <w:rStyle w:val="Hyperlink"/>
            <w:rFonts w:ascii="Times New Roman" w:hAnsi="Times New Roman"/>
            <w:b w:val="false"/>
            <w:i w:val="false"/>
            <w:color w:val="000000"/>
            <w:sz w:val="22"/>
          </w:rPr>
          <w:t>17—6.10</w:t>
        </w:r>
      </w:hyperlink>
      <w:r>
        <w:rPr>
          <w:rFonts w:ascii="Times New Roman" w:hAnsi="Times New Roman"/>
          <w:b w:val="false"/>
          <w:i w:val="false"/>
          <w:color w:val="000000"/>
          <w:sz w:val="22"/>
        </w:rPr>
        <w:t>(231).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21.4(8)</w:t>
      </w:r>
      <w:r>
        <w:rPr>
          <w:rFonts w:ascii="Times New Roman" w:hAnsi="Times New Roman"/>
          <w:b w:val="false"/>
          <w:i w:val="false"/>
          <w:color w:val="000000"/>
          <w:sz w:val="22"/>
        </w:rPr>
        <w:t> </w:t>
      </w:r>
      <w:r>
        <w:rPr>
          <w:rFonts w:ascii="Times New Roman" w:hAnsi="Times New Roman"/>
          <w:b w:val="false"/>
          <w:i/>
          <w:color w:val="000000"/>
          <w:sz w:val="22"/>
        </w:rPr>
        <w:t xml:space="preserve">Transfer. </w:t>
      </w:r>
      <w:r>
        <w:rPr>
          <w:rFonts w:ascii="Times New Roman" w:hAnsi="Times New Roman"/>
          <w:b w:val="false"/>
          <w:i w:val="false"/>
          <w:color w:val="000000"/>
          <w:sz w:val="22"/>
        </w:rPr>
        <w:t>When a client moves from the AAA’s geographic service area, the AAA shall, with the documented consent of the client or the client’s legal representative, refer the client to the AAA serving the area to which the client has 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21.4(9)</w:t>
      </w:r>
      <w:r>
        <w:rPr>
          <w:rFonts w:ascii="Times New Roman" w:hAnsi="Times New Roman"/>
          <w:b w:val="false"/>
          <w:i w:val="false"/>
          <w:color w:val="000000"/>
          <w:sz w:val="22"/>
        </w:rPr>
        <w:t> </w:t>
      </w:r>
      <w:r>
        <w:rPr>
          <w:rFonts w:ascii="Times New Roman" w:hAnsi="Times New Roman"/>
          <w:b w:val="false"/>
          <w:i/>
          <w:color w:val="000000"/>
          <w:sz w:val="22"/>
        </w:rPr>
        <w:t xml:space="preserve">Monitoring and follow-up. </w:t>
      </w:r>
      <w:r>
        <w:rPr>
          <w:rFonts w:ascii="Times New Roman" w:hAnsi="Times New Roman"/>
          <w:b w:val="false"/>
          <w:i w:val="false"/>
          <w:color w:val="000000"/>
          <w:sz w:val="22"/>
        </w:rPr>
        <w:t>The AAA shall, and the department may, monitor and follow up with providers of the service of case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Monitoring shall be conducted to determine whether: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are being furnished in accordance with the client’s service plan, including the amount of service provided, the client’s attendance, and the client’s participation in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client has declined services in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Communication is occurring among all providers to ensure coordination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Services in the service plan are meeting the identified needs of the client, including the client’s progress toward achieving the goals and actions determined in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Monitoring shall include accessing and assessing the client, the places of service (including the client’s home when applicable), and all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21.4(10)</w:t>
      </w:r>
      <w:r>
        <w:rPr>
          <w:rFonts w:ascii="Times New Roman" w:hAnsi="Times New Roman"/>
          <w:b w:val="false"/>
          <w:i w:val="false"/>
          <w:color w:val="000000"/>
          <w:sz w:val="22"/>
        </w:rPr>
        <w:t> </w:t>
      </w:r>
      <w:r>
        <w:rPr>
          <w:rFonts w:ascii="Times New Roman" w:hAnsi="Times New Roman"/>
          <w:b w:val="false"/>
          <w:i/>
          <w:color w:val="000000"/>
          <w:sz w:val="22"/>
        </w:rPr>
        <w:t xml:space="preserve">Records and documentation.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case management service provider shall maintain individual client records in a paper file or in a case management software database approved by the department. The case file for each client shall minimally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Intake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Comprehensive needs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Copies of release of information (if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Record of referral(s) and request(s);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Correspondence related to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Formal case notes, which include documentation of the follow-up as noted in paragraph 21.4(6)</w:t>
      </w:r>
      <w:r>
        <w:rPr>
          <w:rFonts w:ascii="Times New Roman" w:hAnsi="Times New Roman"/>
          <w:b w:val="false"/>
          <w:i/>
          <w:color w:val="000000"/>
          <w:sz w:val="22"/>
        </w:rPr>
        <w:t>“a”</w:t>
      </w:r>
      <w:r>
        <w:rPr>
          <w:rFonts w:ascii="Times New Roman" w:hAnsi="Times New Roman"/>
          <w:b w:val="false"/>
          <w:i w:val="false"/>
          <w:color w:val="000000"/>
          <w:sz w:val="22"/>
        </w:rPr>
        <w:t xml:space="preserve"> or of case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by written consent of the client or the client’s legal representative, the use or disclosure by any person of any information concerning a client for any purpose not directly connected with the administration of the responsibilities of the department, AAA or contractor is prohibited.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change in AAA designation, the AAA which has been dedesignated shall transfer all specified records as prescribed by the department to the newly designated AAA.</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231.23A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2976C</w:t>
      </w:r>
      <w:r>
        <w:rPr>
          <w:rFonts w:ascii="Times New Roman" w:hAnsi="Times New Roman"/>
          <w:b w:val="false"/>
          <w:i w:val="false"/>
          <w:color w:val="000000"/>
          <w:sz w:val="16"/>
        </w:rPr>
        <w:t>, IAB 3/15/17, effective 5/3/17</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5/5/06, Notice 1/4/06—published 5/24/06, effective 7/1/06]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8/6/08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8489B, IAB 1/27/10, effective 1/7/10]</w:t>
      </w:r>
    </w:p>
    <w:p>
      <w:pPr>
        <w:spacing w:before="0" w:after="0"/>
        <w:ind w:left="120"/>
        <w:jc w:val="center"/>
      </w:pPr>
      <w:r>
        <w:rPr>
          <w:rFonts w:ascii="Times New Roman" w:hAnsi="Times New Roman"/>
          <w:b w:val="false"/>
          <w:i w:val="false"/>
          <w:color w:val="000000"/>
          <w:sz w:val="21"/>
        </w:rPr>
        <w:t>[Filed ARC 2976C</w:t>
      </w:r>
      <w:r>
        <w:rPr>
          <w:rFonts w:ascii="Times New Roman" w:hAnsi="Times New Roman"/>
          <w:b w:val="false"/>
          <w:i w:val="false"/>
          <w:color w:val="000000"/>
          <w:sz w:val="21"/>
        </w:rPr>
        <w:t xml:space="preserve"> (Notice ARC 2851C, IAB 12/7/16)</w:t>
      </w:r>
      <w:r>
        <w:rPr>
          <w:rFonts w:ascii="Times New Roman" w:hAnsi="Times New Roman"/>
          <w:b w:val="false"/>
          <w:i w:val="false"/>
          <w:color w:val="000000"/>
          <w:sz w:val="21"/>
        </w:rPr>
        <w:t>, IAB 3/15/17, effective 5/3/17]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1.23A.pdf" Type="http://schemas.openxmlformats.org/officeDocument/2006/relationships/hyperlink" Id="rId5"/>
    <Relationship TargetMode="External" Target="https://www.legis.iowa.gov/docs/ico/chapter/235B.pdf" Type="http://schemas.openxmlformats.org/officeDocument/2006/relationships/hyperlink" Id="rId6"/>
    <Relationship TargetMode="External" Target="https://www.legis.iowa.gov/docs/iac/rule/17.6.10.pdf" Type="http://schemas.openxmlformats.org/officeDocument/2006/relationships/hyperlink" Id="rId7"/>
    <Relationship TargetMode="External" Target="https://www.legis.iowa.gov/docs/iac/rule/17.6.10.pdf" Type="http://schemas.openxmlformats.org/officeDocument/2006/relationships/hyperlink" Id="rId8"/>
    <Relationship TargetMode="External" Target="https://www.legis.iowa.gov/docs/ico/chapter/231.23A.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