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DEPARTMENT ON AGING</w:t>
      </w:r>
    </w:p>
    <w:p>
      <w:pPr>
        <w:spacing w:before="0" w:after="0"/>
        <w:ind w:left="120"/>
        <w:jc w:val="center"/>
      </w:pPr>
      <w:r>
        <w:rPr>
          <w:rFonts w:ascii="Times New Roman" w:hAnsi="Times New Roman"/>
          <w:b w:val="false"/>
          <w:i w:val="false"/>
          <w:color w:val="000000"/>
          <w:sz w:val="14"/>
        </w:rPr>
        <w:t>[Prior to 1/27/10, see Elder Affairs Department[321]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17—2.1</w:t>
      </w:r>
      <w:r>
        <w:rPr>
          <w:rFonts w:ascii="Times New Roman" w:hAnsi="Times New Roman"/>
          <w:b/>
          <w:i w:val="false"/>
          <w:color w:val="000000"/>
          <w:sz w:val="22"/>
        </w:rPr>
        <w:t xml:space="preserve">(231) </w:t>
      </w:r>
      <w:r>
        <w:rPr>
          <w:rFonts w:ascii="Times New Roman" w:hAnsi="Times New Roman"/>
          <w:b/>
          <w:i w:val="false"/>
          <w:color w:val="000000"/>
          <w:sz w:val="22"/>
        </w:rPr>
        <w:t xml:space="preserve">Mission statement. </w:t>
      </w:r>
      <w:r>
        <w:rPr>
          <w:rFonts w:ascii="Times New Roman" w:hAnsi="Times New Roman"/>
          <w:b w:val="false"/>
          <w:i w:val="false"/>
          <w:color w:val="000000"/>
          <w:sz w:val="22"/>
        </w:rPr>
        <w:t>The mission of the department on aging is to develop a comprehensive, coordinated and cost-effective system of long-term living and community support services that help individuals maintain health and independence in their homes and communities.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0621C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17—2.2</w:t>
      </w:r>
      <w:r>
        <w:rPr>
          <w:rFonts w:ascii="Times New Roman" w:hAnsi="Times New Roman"/>
          <w:b/>
          <w:i w:val="false"/>
          <w:color w:val="000000"/>
          <w:sz w:val="22"/>
        </w:rPr>
        <w:t xml:space="preserve">(231)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Words and phrases as used in this chapter are as defined in </w:t>
      </w:r>
      <w:hyperlink r:id="rId5">
        <w:r>
          <w:rPr>
            <w:rStyle w:val="Hyperlink"/>
            <w:rFonts w:ascii="Times New Roman" w:hAnsi="Times New Roman"/>
            <w:b w:val="false"/>
            <w:i w:val="false"/>
            <w:color w:val="000000"/>
            <w:sz w:val="22"/>
          </w:rPr>
          <w:t>17—Chapter 1</w:t>
        </w:r>
      </w:hyperlink>
      <w:r>
        <w:rPr>
          <w:rFonts w:ascii="Times New Roman" w:hAnsi="Times New Roman"/>
          <w:b w:val="false"/>
          <w:i w:val="false"/>
          <w:color w:val="000000"/>
          <w:sz w:val="22"/>
        </w:rPr>
        <w:t xml:space="preserve"> unless the context indicates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17—2.3</w:t>
      </w:r>
      <w:r>
        <w:rPr>
          <w:rFonts w:ascii="Times New Roman" w:hAnsi="Times New Roman"/>
          <w:b/>
          <w:i w:val="false"/>
          <w:color w:val="000000"/>
          <w:sz w:val="22"/>
        </w:rPr>
        <w:t xml:space="preserve">(231) </w:t>
      </w:r>
      <w:r>
        <w:rPr>
          <w:rFonts w:ascii="Times New Roman" w:hAnsi="Times New Roman"/>
          <w:b/>
          <w:i w:val="false"/>
          <w:color w:val="000000"/>
          <w:sz w:val="22"/>
        </w:rPr>
        <w:t xml:space="preserve">Department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Iowa department on aging is established by Iowa Code chapter </w:t>
      </w:r>
      <w:hyperlink r:id="rId6">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and is the sole state agency responsible for administration of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General correspondence, inquiries, requests for information or assistance, complaints, or petitions may be sent to or obtained from the following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mail addressed to: Director, Iowa Department on Aging, Jessie Parker Building, 510 East 12th Street, Suite 2,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telephone at (515)725-3333 or 1-800-532-3213;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From the website at </w:t>
      </w:r>
      <w:hyperlink r:id="rId7">
        <w:r>
          <w:rPr>
            <w:rStyle w:val="Hyperlink"/>
            <w:rFonts w:ascii="Times New Roman" w:hAnsi="Times New Roman"/>
            <w:b w:val="false"/>
            <w:i w:val="false"/>
            <w:color w:val="000000"/>
            <w:sz w:val="22"/>
            <w:u w:val="single"/>
          </w:rPr>
          <w:t>www.iowaaging.gov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Business hours. </w:t>
      </w:r>
      <w:r>
        <w:rPr>
          <w:rFonts w:ascii="Times New Roman" w:hAnsi="Times New Roman"/>
          <w:b w:val="false"/>
          <w:i w:val="false"/>
          <w:color w:val="000000"/>
          <w:sz w:val="22"/>
        </w:rPr>
        <w:t>Business hours for the department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legal holidays established by the state executive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2048C</w:t>
      </w:r>
      <w:r>
        <w:rPr>
          <w:rFonts w:ascii="Times New Roman" w:hAnsi="Times New Roman"/>
          <w:b w:val="false"/>
          <w:i w:val="false"/>
          <w:color w:val="000000"/>
          <w:sz w:val="16"/>
        </w:rPr>
        <w:t>, IAB 6/24/15, effective 7/29/15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17—2.4</w:t>
      </w:r>
      <w:r>
        <w:rPr>
          <w:rFonts w:ascii="Times New Roman" w:hAnsi="Times New Roman"/>
          <w:b/>
          <w:i w:val="false"/>
          <w:color w:val="000000"/>
          <w:sz w:val="22"/>
        </w:rPr>
        <w:t xml:space="preserve">(231) </w:t>
      </w:r>
      <w:r>
        <w:rPr>
          <w:rFonts w:ascii="Times New Roman" w:hAnsi="Times New Roman"/>
          <w:b/>
          <w:i w:val="false"/>
          <w:color w:val="000000"/>
          <w:sz w:val="22"/>
        </w:rPr>
        <w:t xml:space="preserve">Director. </w:t>
      </w:r>
      <w:r>
        <w:rPr>
          <w:rFonts w:ascii="Times New Roman" w:hAnsi="Times New Roman"/>
          <w:b w:val="false"/>
          <w:i w:val="false"/>
          <w:color w:val="000000"/>
          <w:sz w:val="22"/>
        </w:rPr>
        <w:t xml:space="preserve">Rescinded </w:t>
      </w:r>
      <w:r>
        <w:rPr>
          <w:rFonts w:ascii="Times New Roman" w:hAnsi="Times New Roman"/>
          <w:b/>
          <w:i w:val="false"/>
          <w:color w:val="000000"/>
          <w:sz w:val="22"/>
        </w:rPr>
        <w:t>ARC 2048C</w:t>
      </w:r>
      <w:r>
        <w:rPr>
          <w:rFonts w:ascii="Times New Roman" w:hAnsi="Times New Roman"/>
          <w:b w:val="false"/>
          <w:i w:val="false"/>
          <w:color w:val="000000"/>
          <w:sz w:val="22"/>
        </w:rPr>
        <w:t>, IAB 6/24/15, effective 7/29/15.</w:t>
      </w:r>
    </w:p>
    <w:p>
      <w:pPr>
        <w:spacing w:before="0" w:after="0"/>
        <w:ind w:left="120"/>
        <w:jc w:val="both"/>
      </w:pPr>
      <w:r>
        <w:rPr>
          <w:rFonts w:ascii="Times New Roman" w:hAnsi="Times New Roman"/>
          <w:b/>
          <w:i w:val="false"/>
          <w:color w:val="000000"/>
          <w:sz w:val="22"/>
        </w:rPr>
        <w:t>17—2.5</w:t>
      </w:r>
      <w:r>
        <w:rPr>
          <w:rFonts w:ascii="Times New Roman" w:hAnsi="Times New Roman"/>
          <w:b/>
          <w:i w:val="false"/>
          <w:color w:val="000000"/>
          <w:sz w:val="22"/>
        </w:rPr>
        <w:t xml:space="preserve">(231) </w:t>
      </w:r>
      <w:r>
        <w:rPr>
          <w:rFonts w:ascii="Times New Roman" w:hAnsi="Times New Roman"/>
          <w:b/>
          <w:i w:val="false"/>
          <w:color w:val="000000"/>
          <w:sz w:val="22"/>
        </w:rPr>
        <w:t xml:space="preserve">Organizational units of the department. </w:t>
      </w:r>
      <w:r>
        <w:rPr>
          <w:rFonts w:ascii="Times New Roman" w:hAnsi="Times New Roman"/>
          <w:b w:val="false"/>
          <w:i w:val="false"/>
          <w:color w:val="000000"/>
          <w:sz w:val="22"/>
        </w:rPr>
        <w:t>The department’s activities are performed by employees within the office of the director and two divisions. Grants will be managed by the appropriate division, dependent upon the source and intended use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Office of the director. </w:t>
      </w:r>
      <w:r>
        <w:rPr>
          <w:rFonts w:ascii="Times New Roman" w:hAnsi="Times New Roman"/>
          <w:b w:val="false"/>
          <w:i w:val="false"/>
          <w:color w:val="000000"/>
          <w:sz w:val="22"/>
        </w:rPr>
        <w:t>The office of the director may be comprised of the director, the assistant director, the state long-term care ombudsman, the policy coordinator, the public information officer, and other personnel. This office is responsible for the overall planning, policy, management and operations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Division of programs, planning, and administration. </w:t>
      </w:r>
      <w:r>
        <w:rPr>
          <w:rFonts w:ascii="Times New Roman" w:hAnsi="Times New Roman"/>
          <w:b w:val="false"/>
          <w:i w:val="false"/>
          <w:color w:val="000000"/>
          <w:sz w:val="22"/>
        </w:rPr>
        <w:t>The responsibilities of the division of programs, planning, and administration include the development and operation of home- and community-based programs, development of program and operational budgets, providing leadership and direction for the integration of policy development, ensuring that policies are consistent with department goals and results, and accounting and administrative control of appropriation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Office of the state long-term care ombudsman. </w:t>
      </w:r>
      <w:r>
        <w:rPr>
          <w:rFonts w:ascii="Times New Roman" w:hAnsi="Times New Roman"/>
          <w:b w:val="false"/>
          <w:i w:val="false"/>
          <w:color w:val="000000"/>
          <w:sz w:val="22"/>
        </w:rPr>
        <w:t>The responsibilities of the state long-term care ombudsman include development, administration, and operation of the program and allocated budget to provide advocacy for individuals residing in long-term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0621C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2048C</w:t>
      </w:r>
      <w:r>
        <w:rPr>
          <w:rFonts w:ascii="Times New Roman" w:hAnsi="Times New Roman"/>
          <w:b w:val="false"/>
          <w:i w:val="false"/>
          <w:color w:val="000000"/>
          <w:sz w:val="16"/>
        </w:rPr>
        <w:t>, IAB 6/24/15, effective 7/29/15</w:t>
      </w:r>
      <w:r>
        <w:rPr>
          <w:rFonts w:ascii="Times New Roman" w:hAnsi="Times New Roman"/>
          <w:b w:val="false"/>
          <w:i w:val="false"/>
          <w:color w:val="000000"/>
          <w:sz w:val="16"/>
        </w:rPr>
        <w:t xml:space="preserve">; </w:t>
      </w:r>
      <w:r>
        <w:rPr>
          <w:rFonts w:ascii="Times New Roman" w:hAnsi="Times New Roman"/>
          <w:b/>
          <w:i w:val="false"/>
          <w:color w:val="000000"/>
          <w:sz w:val="16"/>
        </w:rPr>
        <w:t>ARC 3713C</w:t>
      </w:r>
      <w:r>
        <w:rPr>
          <w:rFonts w:ascii="Times New Roman" w:hAnsi="Times New Roman"/>
          <w:b w:val="false"/>
          <w:i w:val="false"/>
          <w:color w:val="000000"/>
          <w:sz w:val="16"/>
        </w:rPr>
        <w:t>, IAB 3/28/18, effective 5/2/18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17—2.6</w:t>
      </w:r>
      <w:r>
        <w:rPr>
          <w:rFonts w:ascii="Times New Roman" w:hAnsi="Times New Roman"/>
          <w:b/>
          <w:i w:val="false"/>
          <w:color w:val="000000"/>
          <w:sz w:val="22"/>
        </w:rPr>
        <w:t xml:space="preserve">(231)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Rescinded </w:t>
      </w:r>
      <w:r>
        <w:rPr>
          <w:rFonts w:ascii="Times New Roman" w:hAnsi="Times New Roman"/>
          <w:b/>
          <w:i w:val="false"/>
          <w:color w:val="000000"/>
          <w:sz w:val="22"/>
        </w:rPr>
        <w:t>ARC 2048C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6/24/15</w:t>
      </w:r>
      <w:r>
        <w:rPr>
          <w:rFonts w:ascii="Times New Roman" w:hAnsi="Times New Roman"/>
          <w:b w:val="false"/>
          <w:i w:val="false"/>
          <w:color w:val="000000"/>
          <w:sz w:val="22"/>
        </w:rPr>
        <w:t>, effective 7/29/15.</w:t>
      </w:r>
    </w:p>
    <w:p>
      <w:pPr>
        <w:spacing w:before="210" w:after="0"/>
        <w:ind w:left="120"/>
        <w:jc w:val="both"/>
      </w:pPr>
      <w:r>
        <w:rPr>
          <w:rFonts w:ascii="Times New Roman" w:hAnsi="Times New Roman"/>
          <w:b/>
          <w:i w:val="false"/>
          <w:color w:val="000000"/>
          <w:sz w:val="22"/>
        </w:rPr>
        <w:t>17—2.7</w:t>
      </w:r>
      <w:r>
        <w:rPr>
          <w:rFonts w:ascii="Times New Roman" w:hAnsi="Times New Roman"/>
          <w:b/>
          <w:i w:val="false"/>
          <w:color w:val="000000"/>
          <w:sz w:val="22"/>
        </w:rPr>
        <w:t xml:space="preserve">(231) </w:t>
      </w:r>
      <w:r>
        <w:rPr>
          <w:rFonts w:ascii="Times New Roman" w:hAnsi="Times New Roman"/>
          <w:b/>
          <w:i w:val="false"/>
          <w:color w:val="000000"/>
          <w:sz w:val="22"/>
        </w:rPr>
        <w:t xml:space="preserve">Discrimination.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2048C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6/24/15</w:t>
      </w:r>
      <w:r>
        <w:rPr>
          <w:rFonts w:ascii="Times New Roman" w:hAnsi="Times New Roman"/>
          <w:b w:val="false"/>
          <w:i w:val="false"/>
          <w:color w:val="000000"/>
          <w:sz w:val="22"/>
        </w:rPr>
        <w:t>, effective 7/29/15.</w:t>
      </w:r>
    </w:p>
    <w:p>
      <w:pPr>
        <w:spacing w:before="210" w:after="0"/>
        <w:ind w:left="120"/>
        <w:jc w:val="both"/>
      </w:pPr>
      <w:r>
        <w:rPr>
          <w:rFonts w:ascii="Times New Roman" w:hAnsi="Times New Roman"/>
          <w:b/>
          <w:i w:val="false"/>
          <w:color w:val="000000"/>
          <w:sz w:val="22"/>
        </w:rPr>
        <w:t>17—2.8</w:t>
      </w:r>
      <w:r>
        <w:rPr>
          <w:rFonts w:ascii="Times New Roman" w:hAnsi="Times New Roman"/>
          <w:b/>
          <w:i w:val="false"/>
          <w:color w:val="000000"/>
          <w:sz w:val="22"/>
        </w:rPr>
        <w:t xml:space="preserve">(231) </w:t>
      </w:r>
      <w:r>
        <w:rPr>
          <w:rFonts w:ascii="Times New Roman" w:hAnsi="Times New Roman"/>
          <w:b/>
          <w:i w:val="false"/>
          <w:color w:val="000000"/>
          <w:sz w:val="22"/>
        </w:rPr>
        <w:t xml:space="preserve">Affirmative action plans.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2048C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6/24/15</w:t>
      </w:r>
      <w:r>
        <w:rPr>
          <w:rFonts w:ascii="Times New Roman" w:hAnsi="Times New Roman"/>
          <w:b w:val="false"/>
          <w:i w:val="false"/>
          <w:color w:val="000000"/>
          <w:sz w:val="22"/>
        </w:rPr>
        <w:t>, effective 7/29/15.</w:t>
      </w:r>
    </w:p>
    <w:p>
      <w:pPr>
        <w:spacing w:before="0" w:after="0"/>
        <w:ind w:left="120"/>
        <w:jc w:val="both"/>
      </w:pPr>
      <w:r>
        <w:rPr>
          <w:rFonts w:ascii="Times New Roman" w:hAnsi="Times New Roman"/>
          <w:b/>
          <w:i w:val="false"/>
          <w:color w:val="000000"/>
          <w:sz w:val="22"/>
        </w:rPr>
        <w:t>17—2.9</w:t>
      </w:r>
      <w:r>
        <w:rPr>
          <w:rFonts w:ascii="Times New Roman" w:hAnsi="Times New Roman"/>
          <w:b/>
          <w:i w:val="false"/>
          <w:color w:val="000000"/>
          <w:sz w:val="22"/>
        </w:rPr>
        <w:t xml:space="preserve">(231) </w:t>
      </w:r>
      <w:r>
        <w:rPr>
          <w:rFonts w:ascii="Times New Roman" w:hAnsi="Times New Roman"/>
          <w:b/>
          <w:i w:val="false"/>
          <w:color w:val="000000"/>
          <w:sz w:val="22"/>
        </w:rPr>
        <w:t xml:space="preserve">Department complaint and appeal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color w:val="000000"/>
          <w:sz w:val="22"/>
        </w:rPr>
        <w:t xml:space="preserve">Aggrieved party identified. </w:t>
      </w:r>
      <w:r>
        <w:rPr>
          <w:rFonts w:ascii="Times New Roman" w:hAnsi="Times New Roman"/>
          <w:b w:val="false"/>
          <w:i w:val="false"/>
          <w:color w:val="000000"/>
          <w:sz w:val="22"/>
        </w:rPr>
        <w:t>An aggrieved party is any agency, organization, or individual that alleges that the party’s rights have been denied or that services provided were not in compliance with regulations or were substandard because of an action of the department, the commission on aging, an AAA, an AAA subcontractor, or a Senior Community Service Employment Program (SCSEP) subgrantee.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color w:val="000000"/>
          <w:sz w:val="22"/>
        </w:rPr>
        <w:t xml:space="preserve">Complaints or appeals to the department from the AAA or SCSEP subgrantee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in cases where an AAA is acting in its capacity as a Medicaid provider, complaints at the AAA or SCSEP subgrantee level by any aggrieved party shall be heard first by the AAA or SCSEP subgrantee using the AAA’s or SCSEP subgrantee’s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complaint procedures of an AAA or AAA subcontractor or SCSEP subgrantee shall be exhausted before the department on aging is contacted.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color w:val="000000"/>
          <w:sz w:val="22"/>
        </w:rPr>
        <w:t xml:space="preserve">Requests for an informal review or a 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Informal review. </w:t>
      </w:r>
      <w:r>
        <w:rPr>
          <w:rFonts w:ascii="Times New Roman" w:hAnsi="Times New Roman"/>
          <w:b w:val="false"/>
          <w:i w:val="false"/>
          <w:color w:val="000000"/>
          <w:sz w:val="22"/>
        </w:rPr>
        <w:t>An aggrieved party or a party appealing an AAA-level or SCSEP subgrantee-level decision has 30 calendar days from receipt of written notice of action from the AAA, the SCSEP subgrantee, or the department to request an informal review by the department or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who desires to pursue an informal settlement of any complaint may request a meeting with appropriate department staff. The request shall be in writing and shall be delivered to the Director, Department on Aging, Jessie M. Parker Building, 510 East 12th Street, Suite 2,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contain the subject matter(s) of the complaint and an explanation of all steps taken to resolve the matter prior to requesting an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receipt of the request for informal review, all formal contested case proceedings, if begun, are stayed.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as a result of the informal review, negotiate a settlement of the complaint or, if appropriate, may send the matter back to the AAA or SCSEP subgrantee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Parties desiring informal settlement shall set forth in writing the various points of a proposed settlement, which may include a stipulated statement of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signed by the parties to a controversy, a proposed settlement shall represent final disposition of the matter in place of contested case proceedings, which shall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parties are unable to reach agreement during the informal review, the matter may, if requested, be handled by the department as a request for a contested case proceeding under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17—Chapter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proposed settlement which is not accepted or signed by the parties shall not be admitted as evidence in the record of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15 calendar days of receipt of a request for a contested case hearing, the department shall initiate a contested case proceeding under </w:t>
      </w:r>
      <w:hyperlink r:id="rId10">
        <w:r>
          <w:rPr>
            <w:rStyle w:val="Hyperlink"/>
            <w:rFonts w:ascii="Times New Roman" w:hAnsi="Times New Roman"/>
            <w:b w:val="false"/>
            <w:i w:val="false"/>
            <w:color w:val="000000"/>
            <w:sz w:val="22"/>
          </w:rPr>
          <w:t>17—Chapter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controversy is a matter that is subject to a contested case proceeding under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parties may request a contested case proceeding at the conclusion of an unresolved informal review pursuant to </w:t>
      </w:r>
      <w:hyperlink r:id="rId12">
        <w:r>
          <w:rPr>
            <w:rStyle w:val="Hyperlink"/>
            <w:rFonts w:ascii="Times New Roman" w:hAnsi="Times New Roman"/>
            <w:b w:val="false"/>
            <w:i w:val="false"/>
            <w:color w:val="000000"/>
            <w:sz w:val="22"/>
          </w:rPr>
          <w:t>17—Chapter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w:t>
      </w:r>
      <w:r>
        <w:rPr>
          <w:rFonts w:ascii="Times New Roman" w:hAnsi="Times New Roman"/>
          <w:b w:val="false"/>
          <w:i w:val="false"/>
          <w:color w:val="000000"/>
          <w:sz w:val="22"/>
        </w:rPr>
        <w:t> </w:t>
      </w:r>
      <w:r>
        <w:rPr>
          <w:rFonts w:ascii="Times New Roman" w:hAnsi="Times New Roman"/>
          <w:b w:val="false"/>
          <w:i/>
          <w:color w:val="000000"/>
          <w:sz w:val="22"/>
        </w:rPr>
        <w:t xml:space="preserve">Appeal by applicants denied designation as a planning and service area. </w:t>
      </w:r>
      <w:r>
        <w:rPr>
          <w:rFonts w:ascii="Times New Roman" w:hAnsi="Times New Roman"/>
          <w:b w:val="false"/>
          <w:i w:val="false"/>
          <w:color w:val="000000"/>
          <w:sz w:val="22"/>
        </w:rPr>
        <w:t>Any applicant for designation as a planning and service area whose application is denied and who has been provided a hearing by the department on aging and has received a written appeal decision by the commission may appeal the denial to the assistant secretary of the Administration on Aging in writing within 30 calendar days of receipt of the commission’s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A party that seeks judicial review shall first exhaust all administrative remedies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shall appeal the decision of the administrative law judge as provided in subrule </w:t>
      </w:r>
      <w:hyperlink r:id="rId13">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xml:space="preserve"> and receive a decision from the commission as provided in subrule </w:t>
      </w:r>
      <w:hyperlink r:id="rId14">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Petition for judicial review of the commission’s decision shall be filed within 30 calendar days after the decision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4875C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17—2.10</w:t>
      </w:r>
      <w:r>
        <w:rPr>
          <w:rFonts w:ascii="Times New Roman" w:hAnsi="Times New Roman"/>
          <w:b/>
          <w:i w:val="false"/>
          <w:color w:val="000000"/>
          <w:sz w:val="22"/>
        </w:rPr>
        <w:t xml:space="preserve">(231) </w:t>
      </w:r>
      <w:r>
        <w:rPr>
          <w:rFonts w:ascii="Times New Roman" w:hAnsi="Times New Roman"/>
          <w:b/>
          <w:i w:val="false"/>
          <w:color w:val="000000"/>
          <w:sz w:val="22"/>
        </w:rPr>
        <w:t xml:space="preserve">Severability. </w:t>
      </w:r>
      <w:r>
        <w:rPr>
          <w:rFonts w:ascii="Times New Roman" w:hAnsi="Times New Roman"/>
          <w:b w:val="false"/>
          <w:i w:val="false"/>
          <w:color w:val="000000"/>
          <w:sz w:val="22"/>
        </w:rPr>
        <w:t>Should any rule, subrule, paragraph, phrase, sentence or clause of this chapter be declared invalid or unconstitutional for any reason, the remainder of this chapter shall not be affected thereby.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5/1/87, Notice 2/25/87—published 5/20/87, effective 6/24/87]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8/20/87—published 9/9/87, effective 9/2/87]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2/1/91, Notice 11/28/90—published 2/20/91, effective 3/27/91]</w:t>
      </w:r>
    </w:p>
    <w:p>
      <w:pPr>
        <w:spacing w:before="0" w:after="0"/>
        <w:ind w:left="120"/>
        <w:jc w:val="center"/>
      </w:pPr>
      <w:r>
        <w:rPr>
          <w:rFonts w:ascii="Times New Roman" w:hAnsi="Times New Roman"/>
          <w:b w:val="false"/>
          <w:i w:val="false"/>
          <w:color w:val="000000"/>
          <w:sz w:val="21"/>
        </w:rPr>
        <w:t>[Filed 5/28/97, Notice 4/23/97—published 6/18/97, effective 7/23/97]</w:t>
      </w:r>
    </w:p>
    <w:p>
      <w:pPr>
        <w:spacing w:before="0" w:after="0"/>
        <w:ind w:left="120"/>
        <w:jc w:val="center"/>
      </w:pPr>
      <w:r>
        <w:rPr>
          <w:rFonts w:ascii="Times New Roman" w:hAnsi="Times New Roman"/>
          <w:b w:val="false"/>
          <w:i w:val="false"/>
          <w:color w:val="000000"/>
          <w:sz w:val="21"/>
        </w:rPr>
        <w:t>[Filed 2/21/06, Notice 11/23/05—published 3/15/06, effective 5/1/06]</w:t>
      </w:r>
    </w:p>
    <w:p>
      <w:pPr>
        <w:spacing w:before="0" w:after="0"/>
        <w:ind w:left="120"/>
        <w:jc w:val="center"/>
      </w:pPr>
      <w:r>
        <w:rPr>
          <w:rFonts w:ascii="Times New Roman" w:hAnsi="Times New Roman"/>
          <w:b w:val="false"/>
          <w:i w:val="false"/>
          <w:color w:val="000000"/>
          <w:sz w:val="21"/>
        </w:rPr>
        <w:t>[Filed 12/28/07, Notice 9/12/07—published 1/30/08, effective 3/5/08]</w:t>
      </w:r>
    </w:p>
    <w:p>
      <w:pPr>
        <w:spacing w:before="0" w:after="0"/>
        <w:ind w:left="120"/>
        <w:jc w:val="center"/>
      </w:pPr>
      <w:r>
        <w:rPr>
          <w:rFonts w:ascii="Times New Roman" w:hAnsi="Times New Roman"/>
          <w:b w:val="false"/>
          <w:i w:val="false"/>
          <w:color w:val="000000"/>
          <w:sz w:val="21"/>
        </w:rPr>
        <w:t>[Filed Emergency ARC 8489B, IAB 1/27/10, effective 1/7/10]</w:t>
      </w:r>
    </w:p>
    <w:p>
      <w:pPr>
        <w:spacing w:before="0" w:after="0"/>
        <w:ind w:left="120"/>
        <w:jc w:val="center"/>
      </w:pPr>
      <w:r>
        <w:rPr>
          <w:rFonts w:ascii="Times New Roman" w:hAnsi="Times New Roman"/>
          <w:b w:val="false"/>
          <w:i w:val="false"/>
          <w:color w:val="000000"/>
          <w:sz w:val="21"/>
        </w:rPr>
        <w:t>[Filed ARC 0621C</w:t>
      </w:r>
      <w:r>
        <w:rPr>
          <w:rFonts w:ascii="Times New Roman" w:hAnsi="Times New Roman"/>
          <w:b w:val="false"/>
          <w:i w:val="false"/>
          <w:color w:val="000000"/>
          <w:sz w:val="21"/>
        </w:rPr>
        <w:t xml:space="preserve"> (Notice ARC 0506C, IAB 12/12/12)</w:t>
      </w:r>
      <w:r>
        <w:rPr>
          <w:rFonts w:ascii="Times New Roman" w:hAnsi="Times New Roman"/>
          <w:b w:val="false"/>
          <w:i w:val="false"/>
          <w:color w:val="000000"/>
          <w:sz w:val="21"/>
        </w:rPr>
        <w:t>, IAB 3/6/13, effective 4/10/13]</w:t>
      </w:r>
    </w:p>
    <w:p>
      <w:pPr>
        <w:spacing w:before="0" w:after="0"/>
        <w:ind w:left="120"/>
        <w:jc w:val="center"/>
      </w:pPr>
      <w:r>
        <w:rPr>
          <w:rFonts w:ascii="Times New Roman" w:hAnsi="Times New Roman"/>
          <w:b w:val="false"/>
          <w:i w:val="false"/>
          <w:color w:val="000000"/>
          <w:sz w:val="21"/>
        </w:rPr>
        <w:t>[Filed ARC 2048C</w:t>
      </w:r>
      <w:r>
        <w:rPr>
          <w:rFonts w:ascii="Times New Roman" w:hAnsi="Times New Roman"/>
          <w:b w:val="false"/>
          <w:i w:val="false"/>
          <w:color w:val="000000"/>
          <w:sz w:val="21"/>
        </w:rPr>
        <w:t xml:space="preserve"> (Notice ARC 1898C, IAB 3/4/15)</w:t>
      </w:r>
      <w:r>
        <w:rPr>
          <w:rFonts w:ascii="Times New Roman" w:hAnsi="Times New Roman"/>
          <w:b w:val="false"/>
          <w:i w:val="false"/>
          <w:color w:val="000000"/>
          <w:sz w:val="21"/>
        </w:rPr>
        <w:t>, IAB 6/24/15, effective 7/29/15]</w:t>
      </w:r>
    </w:p>
    <w:p>
      <w:pPr>
        <w:spacing w:before="0" w:after="0"/>
        <w:ind w:left="120"/>
        <w:jc w:val="center"/>
      </w:pPr>
      <w:r>
        <w:rPr>
          <w:rFonts w:ascii="Times New Roman" w:hAnsi="Times New Roman"/>
          <w:b w:val="false"/>
          <w:i w:val="false"/>
          <w:color w:val="000000"/>
          <w:sz w:val="21"/>
        </w:rPr>
        <w:t>[Filed ARC 3713C</w:t>
      </w:r>
      <w:r>
        <w:rPr>
          <w:rFonts w:ascii="Times New Roman" w:hAnsi="Times New Roman"/>
          <w:b w:val="false"/>
          <w:i w:val="false"/>
          <w:color w:val="000000"/>
          <w:sz w:val="21"/>
        </w:rPr>
        <w:t xml:space="preserve"> (Notice ARC 3478C, IAB 12/6/17)</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4875C</w:t>
      </w:r>
      <w:r>
        <w:rPr>
          <w:rFonts w:ascii="Times New Roman" w:hAnsi="Times New Roman"/>
          <w:b w:val="false"/>
          <w:i w:val="false"/>
          <w:color w:val="000000"/>
          <w:sz w:val="21"/>
        </w:rPr>
        <w:t xml:space="preserve"> (Notice ARC 4542C, IAB 7/17/19)</w:t>
      </w:r>
      <w:r>
        <w:rPr>
          <w:rFonts w:ascii="Times New Roman" w:hAnsi="Times New Roman"/>
          <w:b w:val="false"/>
          <w:i w:val="false"/>
          <w:color w:val="000000"/>
          <w:sz w:val="21"/>
        </w:rPr>
        <w:t>, IAB 1/15/20, effective 2/19/20]</w:t>
      </w:r>
    </w:p>
    <w:p>
      <w:pPr>
        <w:pBdr>
          <w:bottom w:space="2"/>
        </w:pBdr>
        <w:spacing w:before="0" w:after="0"/>
        <w:ind w:left="120"/>
        <w:jc w:val="both"/>
      </w:pPr>
      <w:r>
        <w:rPr>
          <w:rFonts w:ascii="Times New Roman" w:hAnsi="Times New Roman"/>
          <w:b w:val="false"/>
          <w:i w:val="false"/>
          <w:color w:val="000000"/>
          <w:sz w:val="22"/>
        </w:rPr>
        <w:t>Effective date of Ch 2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7.1.pdf" Type="http://schemas.openxmlformats.org/officeDocument/2006/relationships/hyperlink" Id="rId5"/>
    <Relationship TargetMode="External" Target="https://www.legis.iowa.gov/docs/ico/chapter/231.pdf" Type="http://schemas.openxmlformats.org/officeDocument/2006/relationships/hyperlink" Id="rId6"/>
    <Relationship TargetMode="External" Target="http://www.iowaaging.gov"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ac/chapter/17.13.pdf" Type="http://schemas.openxmlformats.org/officeDocument/2006/relationships/hyperlink" Id="rId9"/>
    <Relationship TargetMode="External" Target="https://www.legis.iowa.gov/docs/iac/chapter/17.13.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chapter/17.13.pdf" Type="http://schemas.openxmlformats.org/officeDocument/2006/relationships/hyperlink" Id="rId12"/>
    <Relationship TargetMode="External" Target="https://www.legis.iowa.gov/docs/iac/rule/17.2.9.pdf" Type="http://schemas.openxmlformats.org/officeDocument/2006/relationships/hyperlink" Id="rId13"/>
    <Relationship TargetMode="External" Target="https://www.legis.iowa.gov/docs/iac/rule/17.2.9.pdf" Type="http://schemas.openxmlformats.org/officeDocument/2006/relationships/hyperlink" Id="rId14"/>
    <Relationship TargetMode="External" Target="https://www.legis.iowa.gov/docs/ico/chapter/231.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