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5/18/88, see 321—2.6(249D)]</w:t>
      </w:r>
    </w:p>
    <w:p>
      <w:pPr>
        <w:spacing w:before="0" w:after="0"/>
        <w:ind w:left="120"/>
        <w:jc w:val="center"/>
      </w:pPr>
      <w:r>
        <w:rPr>
          <w:rFonts w:ascii="Times New Roman" w:hAnsi="Times New Roman"/>
          <w:b w:val="false"/>
          <w:i w:val="false"/>
          <w:color w:val="000000"/>
          <w:sz w:val="14"/>
        </w:rPr>
        <w:t>[Prior to 1/27/10, see Elder Affairs Department[321] Ch 19]</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department on aging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17—19.1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these rules means the department on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means the department director and the division administrators.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“director of the department on aging”. In lieu of the words “(insert agency name and address)”, insert “the Iowa Department on Aging, Jessie Parker Building, 510 East 12th Street, Suite 2, Des Moines, Iowa 50319-9025”.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the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fees. </w:t>
      </w:r>
      <w:r>
        <w:rPr>
          <w:rFonts w:ascii="Times New Roman" w:hAnsi="Times New Roman"/>
          <w:b w:val="false"/>
          <w:i w:val="false"/>
          <w:color w:val="000000"/>
          <w:sz w:val="22"/>
        </w:rPr>
        <w:t>In lieu of the words “(specify time period)”, insert “one-half hour”. In lieu of the parenthetical sentence at the end of the paragraph, insert “If the request requires research or if the record or records cannot readily be retrieved by the office, the requester will be advised of this fact. In addition, all costs for retrieval and copying of information stored in electronic storage systems may be charged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19.9(1)</w:t>
      </w:r>
      <w:r>
        <w:rPr>
          <w:rFonts w:ascii="Times New Roman" w:hAnsi="Times New Roman"/>
          <w:b w:val="false"/>
          <w:i w:val="false"/>
          <w:color w:val="000000"/>
          <w:sz w:val="22"/>
        </w:rPr>
        <w:t> </w:t>
      </w:r>
      <w:r>
        <w:rPr>
          <w:rFonts w:ascii="Times New Roman" w:hAnsi="Times New Roman"/>
          <w:b w:val="false"/>
          <w:i w:val="false"/>
          <w:color w:val="000000"/>
          <w:sz w:val="22"/>
        </w:rPr>
        <w:t>Disclosure. Open records are frequently disclosed without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17—19.10(17A,22)</w:t>
        </w:r>
      </w:hyperlink>
      <w:r>
        <w:rPr>
          <w:rFonts w:ascii="Times New Roman" w:hAnsi="Times New Roman"/>
          <w:b w:val="false"/>
          <w:i w:val="false"/>
          <w:color w:val="000000"/>
          <w:sz w:val="22"/>
        </w:rPr>
        <w:t>,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the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color w:val="000000"/>
          <w:sz w:val="22"/>
        </w:rPr>
        <w:t xml:space="preserve">Defined.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color w:val="000000"/>
          <w:sz w:val="22"/>
        </w:rPr>
        <w:t xml:space="preserve">Routine uses. </w:t>
      </w:r>
      <w:r>
        <w:rPr>
          <w:rFonts w:ascii="Times New Roman" w:hAnsi="Times New Roman"/>
          <w:b w:val="false"/>
          <w:i w:val="false"/>
          <w:color w:val="000000"/>
          <w:sz w:val="22"/>
        </w:rPr>
        <w:t>To the extent allowed by law, the following uses are considered to be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disclosure to AAAs on matters pertinent to the performance of their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disclosure to care review committees on matters pertinent to the performance of their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disclosure to agencies and organizations which advocate for older persons and volunteer time and effort to programs so that program goals can be achieved.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8">
        <w:r>
          <w:rPr>
            <w:rStyle w:val="Hyperlink"/>
            <w:rFonts w:ascii="Times New Roman" w:hAnsi="Times New Roman"/>
            <w:b w:val="false"/>
            <w:i w:val="false"/>
            <w:color w:val="000000"/>
            <w:sz w:val="22"/>
          </w:rPr>
          <w:t>17—19.6</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to the extent permitted by law, may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 xml:space="preserve">The agency is required to obtain information to resolve long-term care complaints received by the ombudsman, to provide information on legal assistance issues and to determine that eligibility requirements are met for care review committee members. Requests made to third parties for this information may involve the release of confidential information about individuals. Except as provided in rule </w:t>
      </w:r>
      <w:hyperlink r:id="rId9">
        <w:r>
          <w:rPr>
            <w:rStyle w:val="Hyperlink"/>
            <w:rFonts w:ascii="Times New Roman" w:hAnsi="Times New Roman"/>
            <w:b w:val="false"/>
            <w:i w:val="false"/>
            <w:color w:val="000000"/>
            <w:sz w:val="22"/>
          </w:rPr>
          <w:t>17—19.10(17A,22)</w:t>
        </w:r>
      </w:hyperlink>
      <w:r>
        <w:rPr>
          <w:rFonts w:ascii="Times New Roman" w:hAnsi="Times New Roman"/>
          <w:b w:val="false"/>
          <w:i w:val="false"/>
          <w:color w:val="000000"/>
          <w:sz w:val="22"/>
        </w:rPr>
        <w:t>, the agency may make these requests only when the individual has authorized the release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Subjects of confidential records.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0">
        <w:r>
          <w:rPr>
            <w:rStyle w:val="Hyperlink"/>
            <w:rFonts w:ascii="Times New Roman" w:hAnsi="Times New Roman"/>
            <w:b w:val="false"/>
            <w:i w:val="false"/>
            <w:color w:val="000000"/>
            <w:sz w:val="22"/>
          </w:rPr>
          <w:t>17—19.6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Multiple subjects.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under Iowa Code sections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record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part of the long-term care resident’s advocate/ombudsman complaint system under Iowa Code section </w:t>
      </w:r>
      <w:hyperlink r:id="rId16">
        <w:r>
          <w:rPr>
            <w:rStyle w:val="Hyperlink"/>
            <w:rFonts w:ascii="Times New Roman" w:hAnsi="Times New Roman"/>
            <w:b w:val="false"/>
            <w:i w:val="false"/>
            <w:color w:val="000000"/>
            <w:sz w:val="22"/>
          </w:rPr>
          <w:t>231.43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records which are client information for the Senior Community Service Employment Program. Pursuant to authority provided in Iowa Code section </w:t>
      </w:r>
      <w:hyperlink r:id="rId17">
        <w:r>
          <w:rPr>
            <w:rStyle w:val="Hyperlink"/>
            <w:rFonts w:ascii="Times New Roman" w:hAnsi="Times New Roman"/>
            <w:b w:val="false"/>
            <w:i w:val="false"/>
            <w:color w:val="000000"/>
            <w:sz w:val="22"/>
          </w:rPr>
          <w:t>231.51</w:t>
        </w:r>
      </w:hyperlink>
      <w:r>
        <w:rPr>
          <w:rFonts w:ascii="Times New Roman" w:hAnsi="Times New Roman"/>
          <w:b w:val="false"/>
          <w:i w:val="false"/>
          <w:color w:val="000000"/>
          <w:sz w:val="22"/>
        </w:rPr>
        <w:t xml:space="preserve">, the department administers the SCSEP program, a federally funded employment program. Federal law requires that personal information about participants be kept confidential under 20 CFR 674.203b-3(1985). The department has determined that the U.S. Department of Labor would not provide funding for the SCSEP program unless the confidentiality of participants is maintained. In order, therefore, to prevent the denial of these funds, the information will be kept confidential and any requirements to the contrary in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must be waived as provided in Iowa Code section </w:t>
      </w:r>
      <w:hyperlink r:id="rId19">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2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of final orders, decisions and opinions to the extent required to prevent a clearly unwarranted invasion of personal privacy or trade secrets under Iowa Code section </w:t>
      </w:r>
      <w:hyperlink r:id="rId22">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as indicated in Iowa Code sections </w:t>
      </w:r>
      <w:hyperlink r:id="rId23">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5">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31">
        <w:r>
          <w:rPr>
            <w:rStyle w:val="Hyperlink"/>
            <w:rFonts w:ascii="Times New Roman" w:hAnsi="Times New Roman"/>
            <w:b w:val="false"/>
            <w:i w:val="false"/>
            <w:color w:val="000000"/>
            <w:sz w:val="22"/>
          </w:rPr>
          <w:t>17—19.4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32">
        <w:r>
          <w:rPr>
            <w:rStyle w:val="Hyperlink"/>
            <w:rFonts w:ascii="Times New Roman" w:hAnsi="Times New Roman"/>
            <w:b w:val="false"/>
            <w:i w:val="false"/>
            <w:color w:val="000000"/>
            <w:sz w:val="22"/>
          </w:rPr>
          <w:t>19.4(3)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17—19.14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information—aging programs. </w:t>
      </w:r>
      <w:r>
        <w:rPr>
          <w:rFonts w:ascii="Times New Roman" w:hAnsi="Times New Roman"/>
          <w:b w:val="false"/>
          <w:i w:val="false"/>
          <w:color w:val="000000"/>
          <w:sz w:val="22"/>
        </w:rPr>
        <w:t>Transferred to 441—9.18(17A,22), IAC Supplement 6/28/23.</w:t>
      </w:r>
    </w:p>
    <w:p>
      <w:pPr>
        <w:spacing w:before="0" w:after="0"/>
        <w:ind w:left="120"/>
        <w:jc w:val="both"/>
      </w:pPr>
      <w:r>
        <w:rPr>
          <w:rFonts w:ascii="Times New Roman" w:hAnsi="Times New Roman"/>
          <w:b/>
          <w:i w:val="false"/>
          <w:color w:val="000000"/>
          <w:sz w:val="22"/>
        </w:rPr>
        <w:t>17—19.15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33">
        <w:r>
          <w:rPr>
            <w:rStyle w:val="Hyperlink"/>
            <w:rFonts w:ascii="Times New Roman" w:hAnsi="Times New Roman"/>
            <w:b w:val="false"/>
            <w:i w:val="false"/>
            <w:color w:val="000000"/>
            <w:sz w:val="22"/>
          </w:rPr>
          <w:t>17—19.1(17A,22)</w:t>
        </w:r>
      </w:hyperlink>
      <w:r>
        <w:rPr>
          <w:rFonts w:ascii="Times New Roman" w:hAnsi="Times New Roman"/>
          <w:b w:val="false"/>
          <w:i w:val="false"/>
          <w:color w:val="000000"/>
          <w:sz w:val="22"/>
        </w:rPr>
        <w:t xml:space="preserve">. These records are routinely available to the public. However, the agency files of these records may contain confidential information, as discussed in rule </w:t>
      </w:r>
      <w:hyperlink r:id="rId34">
        <w:r>
          <w:rPr>
            <w:rStyle w:val="Hyperlink"/>
            <w:rFonts w:ascii="Times New Roman" w:hAnsi="Times New Roman"/>
            <w:b w:val="false"/>
            <w:i w:val="false"/>
            <w:color w:val="000000"/>
            <w:sz w:val="22"/>
          </w:rPr>
          <w:t>17—19.13(17A,22)</w:t>
        </w:r>
      </w:hyperlink>
      <w:r>
        <w:rPr>
          <w:rFonts w:ascii="Times New Roman" w:hAnsi="Times New Roman"/>
          <w:b w:val="false"/>
          <w:i w:val="false"/>
          <w:color w:val="000000"/>
          <w:sz w:val="22"/>
        </w:rPr>
        <w:t>. The records listed may contain information about individuals. Some records are stored both on paper and in an automated data processing system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19.15(3)</w:t>
      </w:r>
      <w:r>
        <w:rPr>
          <w:rFonts w:ascii="Times New Roman" w:hAnsi="Times New Roman"/>
          <w:b w:val="false"/>
          <w:i w:val="false"/>
          <w:color w:val="000000"/>
          <w:sz w:val="22"/>
        </w:rPr>
        <w:t> </w:t>
      </w:r>
      <w:r>
        <w:rPr>
          <w:rFonts w:ascii="Times New Roman" w:hAnsi="Times New Roman"/>
          <w:b w:val="false"/>
          <w:i/>
          <w:color w:val="000000"/>
          <w:sz w:val="22"/>
        </w:rPr>
        <w:t xml:space="preserve">Commission and advisory council records. </w:t>
      </w:r>
      <w:r>
        <w:rPr>
          <w:rFonts w:ascii="Times New Roman" w:hAnsi="Times New Roman"/>
          <w:b w:val="false"/>
          <w:i w:val="false"/>
          <w:color w:val="000000"/>
          <w:sz w:val="22"/>
        </w:rPr>
        <w:t xml:space="preserve">Agendas, minutes, and materials presented to the commission for the department on aging and the state advisory council are available from the office of the department on aging, except those records concerning closed sessions which are exempt from disclosure under Iowa Code section </w:t>
      </w:r>
      <w:hyperlink r:id="rId3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Commission and advisory council records contain information about participants in meetings. This information is collected pursuant to Iowa Code section </w:t>
      </w:r>
      <w:hyperlink r:id="rId3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such as news releases, annual reports, project reports and agency newsletters are available from the office of the department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19.15(5)</w:t>
      </w:r>
      <w:r>
        <w:rPr>
          <w:rFonts w:ascii="Times New Roman" w:hAnsi="Times New Roman"/>
          <w:b w:val="false"/>
          <w:i w:val="false"/>
          <w:color w:val="000000"/>
          <w:sz w:val="22"/>
        </w:rPr>
        <w:t> </w:t>
      </w:r>
      <w:r>
        <w:rPr>
          <w:rFonts w:ascii="Times New Roman" w:hAnsi="Times New Roman"/>
          <w:b w:val="false"/>
          <w:i/>
          <w:color w:val="000000"/>
          <w:sz w:val="22"/>
        </w:rPr>
        <w:t xml:space="preserve">Other publications. </w:t>
      </w:r>
      <w:r>
        <w:rPr>
          <w:rFonts w:ascii="Times New Roman" w:hAnsi="Times New Roman"/>
          <w:b w:val="false"/>
          <w:i w:val="false"/>
          <w:color w:val="000000"/>
          <w:sz w:val="22"/>
        </w:rPr>
        <w:t>Agency news releases, project reports, and newsletters may contain information about individuals, including agency staff or members of councils or committees.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19.15(6)</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units of service for various agency programs are available from the department on aging.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19.15(7)</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 xml:space="preserve">Records on persons receiving grants for activities funded pursuant to state or federal laws are available through the office specified in subrule </w:t>
      </w:r>
      <w:hyperlink r:id="rId38">
        <w:r>
          <w:rPr>
            <w:rStyle w:val="Hyperlink"/>
            <w:rFonts w:ascii="Times New Roman" w:hAnsi="Times New Roman"/>
            <w:b w:val="false"/>
            <w:i w:val="false"/>
            <w:color w:val="000000"/>
            <w:sz w:val="22"/>
          </w:rPr>
          <w:t>19.2(1)</w:t>
        </w:r>
      </w:hyperlink>
      <w:r>
        <w:rPr>
          <w:rFonts w:ascii="Times New Roman" w:hAnsi="Times New Roman"/>
          <w:b w:val="false"/>
          <w:i w:val="false"/>
          <w:color w:val="000000"/>
          <w:sz w:val="22"/>
        </w:rPr>
        <w:t xml:space="preserve">. These records may contain information about employees of a grantee. This information is not retrieved by individual identifier, and is not stored in an automated data processing system. The information is collected under the authority of Iowa Code chapter </w:t>
      </w:r>
      <w:hyperlink r:id="rId39">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19.15(8)</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 xml:space="preserve">All final orders, decisions and opinions are open to the public except for information that is confidential according to subrule </w:t>
      </w:r>
      <w:hyperlink r:id="rId40">
        <w:r>
          <w:rPr>
            <w:rStyle w:val="Hyperlink"/>
            <w:rFonts w:ascii="Times New Roman" w:hAnsi="Times New Roman"/>
            <w:b w:val="false"/>
            <w:i w:val="false"/>
            <w:color w:val="000000"/>
            <w:sz w:val="22"/>
          </w:rPr>
          <w:t>19.13(2)</w:t>
        </w:r>
      </w:hyperlink>
      <w:r>
        <w:rPr>
          <w:rFonts w:ascii="Times New Roman" w:hAnsi="Times New Roman"/>
          <w:b w:val="false"/>
          <w:i w:val="false"/>
          <w:color w:val="000000"/>
          <w:sz w:val="22"/>
        </w:rPr>
        <w:t xml:space="preserve">. These records may contain information about individuals collected under the authority of Iowa Code chapter </w:t>
      </w:r>
      <w:hyperlink r:id="rId41">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19.15(9)</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19.15(10)</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 xml:space="preserve">The agency employees’ and other procedures manuals, containing the policies and procedures for programs administered by the agency, are available in the department specified in rule </w:t>
      </w:r>
      <w:hyperlink r:id="rId42">
        <w:r>
          <w:rPr>
            <w:rStyle w:val="Hyperlink"/>
            <w:rFonts w:ascii="Times New Roman" w:hAnsi="Times New Roman"/>
            <w:b w:val="false"/>
            <w:i w:val="false"/>
            <w:color w:val="000000"/>
            <w:sz w:val="22"/>
          </w:rPr>
          <w:t>17—19.1(17A,22)</w:t>
        </w:r>
      </w:hyperlink>
      <w:r>
        <w:rPr>
          <w:rFonts w:ascii="Times New Roman" w:hAnsi="Times New Roman"/>
          <w:b w:val="false"/>
          <w:i w:val="false"/>
          <w:color w:val="000000"/>
          <w:sz w:val="22"/>
        </w:rPr>
        <w:t xml:space="preserve">. Policy manuals do not contain information about individuals. Some of this information may be confidential under Iowa Code section </w:t>
      </w:r>
      <w:hyperlink r:id="rId43">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19.15(11)</w:t>
      </w:r>
      <w:r>
        <w:rPr>
          <w:rFonts w:ascii="Times New Roman" w:hAnsi="Times New Roman"/>
          <w:b w:val="false"/>
          <w:i w:val="false"/>
          <w:color w:val="000000"/>
          <w:sz w:val="22"/>
        </w:rPr>
        <w:t> </w:t>
      </w:r>
      <w:r>
        <w:rPr>
          <w:rFonts w:ascii="Times New Roman" w:hAnsi="Times New Roman"/>
          <w:b w:val="false"/>
          <w:i/>
          <w:color w:val="000000"/>
          <w:sz w:val="22"/>
        </w:rPr>
        <w:t xml:space="preserve">Iowa aging memos and directives. </w:t>
      </w:r>
      <w:r>
        <w:rPr>
          <w:rFonts w:ascii="Times New Roman" w:hAnsi="Times New Roman"/>
          <w:b w:val="false"/>
          <w:i w:val="false"/>
          <w:color w:val="000000"/>
          <w:sz w:val="22"/>
        </w:rPr>
        <w:t xml:space="preserve">The agency provides guidance and instructions to its grantees through Iowa aging memorandums and Iowa aging directives. Copies of these documents are available from the department. Iowa aging memorandums and Iowa aging directives may contain information about individuals under the authority of Iowa Code chapter </w:t>
      </w:r>
      <w:hyperlink r:id="rId44">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All data processing systems used by the agency may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17—19.17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4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8489B</w:t>
      </w:r>
      <w:r>
        <w:rPr>
          <w:rFonts w:ascii="Times New Roman" w:hAnsi="Times New Roman"/>
          <w:b w:val="false"/>
          <w:i w:val="false"/>
          <w:color w:val="000000"/>
          <w:sz w:val="16"/>
        </w:rPr>
        <w:t>, IAB 1/27/10, effective 1/7/10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6">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hyperlink r:id="rId47">
        <w:r>
          <w:rPr>
            <w:rStyle w:val="Hyperlink"/>
            <w:rFonts w:ascii="Times New Roman" w:hAnsi="Times New Roman"/>
            <w:b w:val="false"/>
            <w:i w:val="false"/>
            <w:color w:val="000000"/>
            <w:sz w:val="22"/>
          </w:rPr>
          <w:t> 22.11</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Iowa Code chapters </w:t>
      </w:r>
      <w:hyperlink r:id="rId50">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5/1/87, Notice 2/25/87—published 5/20/87, effective 6/24/87]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both"/>
      </w:pPr>
      <w:r>
        <w:rPr>
          <w:rFonts w:ascii="Times New Roman" w:hAnsi="Times New Roman"/>
          <w:b w:val="false"/>
          <w:i w:val="false"/>
          <w:color w:val="000000"/>
          <w:sz w:val="16"/>
        </w:rPr>
        <w:t xml:space="preserve">NOTE: History transferred from 321—Ch 2, </w:t>
      </w:r>
      <w:r>
        <w:rPr>
          <w:rFonts w:ascii="Times New Roman" w:hAnsi="Times New Roman"/>
          <w:b w:val="false"/>
          <w:i w:val="false"/>
          <w:color w:val="000000"/>
          <w:sz w:val="16"/>
        </w:rPr>
        <w:t>IAB 5/18/88</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[Editorial change: IAC Supplement 6/28/23]</w:t>
      </w:r>
    </w:p>
    <w:p>
      <w:pPr>
        <w:pBdr>
          <w:bottom w:space="2"/>
        </w:pBdr>
        <w:spacing w:before="0" w:after="0"/>
        <w:ind w:left="120"/>
        <w:jc w:val="both"/>
      </w:pPr>
      <w:r>
        <w:rPr>
          <w:rFonts w:ascii="Times New Roman" w:hAnsi="Times New Roman"/>
          <w:b w:val="false"/>
          <w:i w:val="false"/>
          <w:color w:val="000000"/>
          <w:sz w:val="22"/>
        </w:rPr>
        <w:t>Effective date of Ch 2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17.19.10.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17.19.6.pdf" Type="http://schemas.openxmlformats.org/officeDocument/2006/relationships/hyperlink" Id="rId8"/>
    <Relationship TargetMode="External" Target="https://www.legis.iowa.gov/docs/iac/rule/17.19.10.pdf" Type="http://schemas.openxmlformats.org/officeDocument/2006/relationships/hyperlink" Id="rId9"/>
    <Relationship TargetMode="External" Target="https://www.legis.iowa.gov/docs/iac/rule/17.19.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72.3.pdf" Type="http://schemas.openxmlformats.org/officeDocument/2006/relationships/hyperlink" Id="rId13"/>
    <Relationship TargetMode="External" Target="https://www.legis.iowa.gov/docs/ico/chapter/422.20.pdf" Type="http://schemas.openxmlformats.org/officeDocument/2006/relationships/hyperlink" Id="rId14"/>
    <Relationship TargetMode="External" Target="https://www.legis.iowa.gov/docs/ico/chapter/422.72.pdf" Type="http://schemas.openxmlformats.org/officeDocument/2006/relationships/hyperlink" Id="rId15"/>
    <Relationship TargetMode="External" Target="https://www.legis.iowa.gov/docs/ico/chapter/231.43.pdf" Type="http://schemas.openxmlformats.org/officeDocument/2006/relationships/hyperlink" Id="rId16"/>
    <Relationship TargetMode="External" Target="https://www.legis.iowa.gov/docs/ico/chapter/231.51.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22.9.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1.5.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17A.2.pdf" Type="http://schemas.openxmlformats.org/officeDocument/2006/relationships/hyperlink" Id="rId23"/>
    <Relationship TargetMode="External" Target="https://www.legis.iowa.gov/docs/ico/chapter/17A.3.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622.10.pdf" Type="http://schemas.openxmlformats.org/officeDocument/2006/relationships/hyperlink" Id="rId28"/>
    <Relationship TargetMode="External" Target="https://www.legis.iowa.gov/docs/ico/chapter/622.11.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ac/rule/17.19.4.pdf" Type="http://schemas.openxmlformats.org/officeDocument/2006/relationships/hyperlink" Id="rId31"/>
    <Relationship TargetMode="External" Target="https://www.legis.iowa.gov/docs/iac/rule/17.19.4.pdf" Type="http://schemas.openxmlformats.org/officeDocument/2006/relationships/hyperlink" Id="rId32"/>
    <Relationship TargetMode="External" Target="https://www.legis.iowa.gov/docs/iac/rule/17.19.1.pdf" Type="http://schemas.openxmlformats.org/officeDocument/2006/relationships/hyperlink" Id="rId33"/>
    <Relationship TargetMode="External" Target="https://www.legis.iowa.gov/docs/iac/rule/17.19.13.pdf" Type="http://schemas.openxmlformats.org/officeDocument/2006/relationships/hyperlink" Id="rId34"/>
    <Relationship TargetMode="External" Target="https://www.legis.iowa.gov/docs/ico/chapter/17A.4.pdf" Type="http://schemas.openxmlformats.org/officeDocument/2006/relationships/hyperlink" Id="rId35"/>
    <Relationship TargetMode="External" Target="https://www.legis.iowa.gov/docs/ico/chapter/21.5.pdf" Type="http://schemas.openxmlformats.org/officeDocument/2006/relationships/hyperlink" Id="rId36"/>
    <Relationship TargetMode="External" Target="https://www.legis.iowa.gov/docs/ico/chapter/21.3.pdf" Type="http://schemas.openxmlformats.org/officeDocument/2006/relationships/hyperlink" Id="rId37"/>
    <Relationship TargetMode="External" Target="https://www.legis.iowa.gov/docs/iac/rule/17.19.2.pdf" Type="http://schemas.openxmlformats.org/officeDocument/2006/relationships/hyperlink" Id="rId38"/>
    <Relationship TargetMode="External" Target="https://www.legis.iowa.gov/docs/ico/chapter/231.pdf" Type="http://schemas.openxmlformats.org/officeDocument/2006/relationships/hyperlink" Id="rId39"/>
    <Relationship TargetMode="External" Target="https://www.legis.iowa.gov/docs/iac/rule/17.19.13.pdf" Type="http://schemas.openxmlformats.org/officeDocument/2006/relationships/hyperlink" Id="rId40"/>
    <Relationship TargetMode="External" Target="https://www.legis.iowa.gov/docs/ico/chapter/231.pdf" Type="http://schemas.openxmlformats.org/officeDocument/2006/relationships/hyperlink" Id="rId41"/>
    <Relationship TargetMode="External" Target="https://www.legis.iowa.gov/docs/iac/rule/17.19.1.pdf" Type="http://schemas.openxmlformats.org/officeDocument/2006/relationships/hyperlink" Id="rId42"/>
    <Relationship TargetMode="External" Target="https://www.legis.iowa.gov/docs/ico/chapter/17A.2.pdf" Type="http://schemas.openxmlformats.org/officeDocument/2006/relationships/hyperlink" Id="rId43"/>
    <Relationship TargetMode="External" Target="https://www.legis.iowa.gov/docs/ico/chapter/231.pdf" Type="http://schemas.openxmlformats.org/officeDocument/2006/relationships/hyperlink" Id="rId44"/>
    <Relationship TargetMode="External" Target="https://www.legis.iowa.gov/docs/ico/chapter/22.pdf" Type="http://schemas.openxmlformats.org/officeDocument/2006/relationships/hyperlink" Id="rId45"/>
    <Relationship TargetMode="External" Target="https://www.legis.iowa.gov/docs/ico/chapter/17A.3.pdf" Type="http://schemas.openxmlformats.org/officeDocument/2006/relationships/hyperlink" Id="rId46"/>
    <Relationship TargetMode="External" Target="https://www.legis.iowa.gov/docs/ico/chapter/22.11.pdf" Type="http://schemas.openxmlformats.org/officeDocument/2006/relationships/hyperlink" Id="rId47"/>
    <Relationship TargetMode="External" Target="https://www.legis.iowa.gov/docs/ico/chapter/217.6.pdf" Type="http://schemas.openxmlformats.org/officeDocument/2006/relationships/hyperlink" Id="rId48"/>
    <Relationship TargetMode="External" Target="https://www.legis.iowa.gov/docs/ico/chapter/217.30.pdf" Type="http://schemas.openxmlformats.org/officeDocument/2006/relationships/hyperlink" Id="rId49"/>
    <Relationship TargetMode="External" Target="https://www.legis.iowa.gov/docs/ico/chapter/228.pdf" Type="http://schemas.openxmlformats.org/officeDocument/2006/relationships/hyperlink" Id="rId50"/>
    <Relationship TargetMode="External" Target="https://www.legis.iowa.gov/docs/ico/chapter/231.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