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IOWA FAMILY CAREGIVER SUPPORT PROGRAM</w:t>
      </w:r>
    </w:p>
    <w:p>
      <w:pPr>
        <w:spacing w:before="0" w:after="0"/>
        <w:ind w:left="120"/>
        <w:jc w:val="center"/>
      </w:pPr>
      <w:r>
        <w:rPr>
          <w:rFonts w:ascii="Times New Roman" w:hAnsi="Times New Roman"/>
          <w:b w:val="false"/>
          <w:i w:val="false"/>
          <w:color w:val="000000"/>
          <w:sz w:val="14"/>
        </w:rPr>
        <w:t>[Prior to 1/27/10, see Elder Affairs Department[321] 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17—14.1</w:t>
      </w:r>
      <w:r>
        <w:rPr>
          <w:rFonts w:ascii="Times New Roman" w:hAnsi="Times New Roman"/>
          <w:b/>
          <w:i w:val="false"/>
          <w:color w:val="000000"/>
          <w:sz w:val="22"/>
        </w:rPr>
        <w:t xml:space="preserve">(231,249H)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family caregiver support program is to provide support services for family caregivers for older individuals and for grandparents or persons who are relative caregivers of children. The program shall be called the Iowa family caregiver support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7599B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17—14.2</w:t>
      </w:r>
      <w:r>
        <w:rPr>
          <w:rFonts w:ascii="Times New Roman" w:hAnsi="Times New Roman"/>
          <w:b/>
          <w:i w:val="false"/>
          <w:color w:val="000000"/>
          <w:sz w:val="22"/>
        </w:rPr>
        <w:t xml:space="preserve">(231,249H) </w:t>
      </w:r>
      <w:r>
        <w:rPr>
          <w:rFonts w:ascii="Times New Roman" w:hAnsi="Times New Roman"/>
          <w:b/>
          <w:i w:val="false"/>
          <w:color w:val="000000"/>
          <w:sz w:val="22"/>
        </w:rPr>
        <w:t xml:space="preserve">Definitions. </w:t>
      </w:r>
      <w:r>
        <w:rPr>
          <w:rFonts w:ascii="Times New Roman" w:hAnsi="Times New Roman"/>
          <w:b w:val="false"/>
          <w:i w:val="false"/>
          <w:color w:val="000000"/>
          <w:sz w:val="22"/>
        </w:rPr>
        <w:t>Words and phrases used in this chapter are as defined in 17 IAC 1 unless the context indicates otherwise. The following definitions also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an individual who is not more than 18 years of age or who is an individual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caregiver” </w:t>
      </w:r>
      <w:r>
        <w:rPr>
          <w:rFonts w:ascii="Times New Roman" w:hAnsi="Times New Roman"/>
          <w:b w:val="false"/>
          <w:i w:val="false"/>
          <w:color w:val="000000"/>
          <w:sz w:val="22"/>
        </w:rPr>
        <w:t>means an adult family member, 18 years of age or older, or another adult individual selected by the consumer or the consumer’s legal representative, who is an informal provider of in-home or community care to an older individual or to a person of any age with Alzheimer’s disease, a related disorder, or a neurological or organic brain dysfunction.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“Grandparent”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“relative caregiver” </w:t>
      </w:r>
      <w:r>
        <w:rPr>
          <w:rFonts w:ascii="Times New Roman" w:hAnsi="Times New Roman"/>
          <w:b w:val="false"/>
          <w:i w:val="false"/>
          <w:color w:val="000000"/>
          <w:sz w:val="22"/>
        </w:rPr>
        <w:t>means a grandparent or stepgrandparent of a child; or a relative of a child by blood, marriage or adoption who is not a parent and who is 55 years of age or older and: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Lives with the child;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the primary caregiver of the child because the biological or adoptive parent is unable or unwilling to serve as the primary caregiver of the child;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 legal relationship to the child, such as legal custody or guardianship, or is raising the child informally.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“Older individual” </w:t>
      </w:r>
      <w:r>
        <w:rPr>
          <w:rFonts w:ascii="Times New Roman" w:hAnsi="Times New Roman"/>
          <w:b w:val="false"/>
          <w:i w:val="false"/>
          <w:color w:val="000000"/>
          <w:sz w:val="22"/>
        </w:rPr>
        <w:t>means a person 60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“Respite care” </w:t>
      </w:r>
      <w:r>
        <w:rPr>
          <w:rFonts w:ascii="Times New Roman" w:hAnsi="Times New Roman"/>
          <w:b w:val="false"/>
          <w:i w:val="false"/>
          <w:color w:val="000000"/>
          <w:sz w:val="22"/>
        </w:rPr>
        <w:t>means temporary, substitute support or living arrangements for care recipients in order to provide a brief period of relief or rest for caregivers.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“Supplemental services” </w:t>
      </w:r>
      <w:r>
        <w:rPr>
          <w:rFonts w:ascii="Times New Roman" w:hAnsi="Times New Roman"/>
          <w:b w:val="false"/>
          <w:i w:val="false"/>
          <w:color w:val="000000"/>
          <w:sz w:val="22"/>
        </w:rPr>
        <w:t>means services or items that are provided on a limited basis to complement the care provided by the caregiver.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7599B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17—14.3</w:t>
      </w:r>
      <w:r>
        <w:rPr>
          <w:rFonts w:ascii="Times New Roman" w:hAnsi="Times New Roman"/>
          <w:b/>
          <w:i w:val="false"/>
          <w:color w:val="000000"/>
          <w:sz w:val="22"/>
        </w:rPr>
        <w:t xml:space="preserve">(231,249H) </w:t>
      </w:r>
      <w:r>
        <w:rPr>
          <w:rFonts w:ascii="Times New Roman" w:hAnsi="Times New Roman"/>
          <w:b/>
          <w:i w:val="false"/>
          <w:color w:val="000000"/>
          <w:sz w:val="22"/>
        </w:rPr>
        <w:t xml:space="preserve">Eligibility for services. </w:t>
      </w:r>
      <w:r>
        <w:rPr>
          <w:rFonts w:ascii="Times New Roman" w:hAnsi="Times New Roman"/>
          <w:b w:val="false"/>
          <w:i w:val="false"/>
          <w:color w:val="000000"/>
          <w:sz w:val="22"/>
        </w:rPr>
        <w:t>In order to be eligible for services under this chapter, a family caregiver shall be providing informal in-home or community care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older individual;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of any age with Alzheimer’s disease, a related disorder, or a neurological or organic brain dysfunction;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child or children not more than 18 years of age;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adult child or children aged 19 through 59 with a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7599B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17—14.4</w:t>
      </w:r>
      <w:r>
        <w:rPr>
          <w:rFonts w:ascii="Times New Roman" w:hAnsi="Times New Roman"/>
          <w:b/>
          <w:i w:val="false"/>
          <w:color w:val="000000"/>
          <w:sz w:val="22"/>
        </w:rPr>
        <w:t xml:space="preserve">(231,249H) </w:t>
      </w:r>
      <w:r>
        <w:rPr>
          <w:rFonts w:ascii="Times New Roman" w:hAnsi="Times New Roman"/>
          <w:b/>
          <w:i w:val="false"/>
          <w:color w:val="000000"/>
          <w:sz w:val="22"/>
        </w:rPr>
        <w:t xml:space="preserve">Priorities for service. </w:t>
      </w:r>
      <w:r>
        <w:rPr>
          <w:rFonts w:ascii="Times New Roman" w:hAnsi="Times New Roman"/>
          <w:b w:val="false"/>
          <w:i w:val="false"/>
          <w:color w:val="000000"/>
          <w:sz w:val="22"/>
        </w:rPr>
        <w:t xml:space="preserve">In determining eligibility for services for categories as defined in rule </w:t>
      </w:r>
      <w:hyperlink r:id="rId5">
        <w:r>
          <w:rPr>
            <w:rStyle w:val="Hyperlink"/>
            <w:rFonts w:ascii="Times New Roman" w:hAnsi="Times New Roman"/>
            <w:b w:val="false"/>
            <w:i w:val="false"/>
            <w:color w:val="000000"/>
            <w:sz w:val="22"/>
          </w:rPr>
          <w:t>17—14.3</w:t>
        </w:r>
      </w:hyperlink>
      <w:r>
        <w:rPr>
          <w:rFonts w:ascii="Times New Roman" w:hAnsi="Times New Roman"/>
          <w:b w:val="false"/>
          <w:i w:val="false"/>
          <w:color w:val="000000"/>
          <w:sz w:val="22"/>
        </w:rPr>
        <w:t>(231,249H) of this chapter, equal priority shall be given to persons in all categories listed below. Each area agency on aging (AAA) will determine if the grandparent component of the program is offered based on the availability of funds.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95"/>
        <w:gridCol w:w="5595"/>
      </w:tblGrid>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Family Caregivers</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Grandparents and Relative Caregivers</w:t>
            </w:r>
          </w:p>
        </w:tc>
      </w:tr>
      <w:tr>
        <w:trPr>
          <w:trHeight w:val="40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Individuals of any age with Alzheimer’s disease or related disorders.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Children with severe disabilities.</w:t>
            </w:r>
          </w:p>
        </w:tc>
      </w:tr>
      <w:tr>
        <w:trPr>
          <w:trHeight w:val="58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Older individuals with the greatest social and economic needs (with particular attention to low-income individuals) who are providing care to individuals 60 years of age or older.</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Older individuals with the greatest social and economic needs (with particular attention to low-income individuals) who are providing care to individuals 60 years of age or older.</w:t>
            </w:r>
          </w:p>
        </w:tc>
      </w:tr>
      <w:tr>
        <w:trPr>
          <w:trHeight w:val="40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Older individuals providing care to persons with severe disabilities, including children with severe disabilities.</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7599B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17—14.5</w:t>
      </w:r>
      <w:r>
        <w:rPr>
          <w:rFonts w:ascii="Times New Roman" w:hAnsi="Times New Roman"/>
          <w:b/>
          <w:i w:val="false"/>
          <w:color w:val="000000"/>
          <w:sz w:val="22"/>
        </w:rPr>
        <w:t xml:space="preserve">(231,249H) </w:t>
      </w:r>
      <w:r>
        <w:rPr>
          <w:rFonts w:ascii="Times New Roman" w:hAnsi="Times New Roman"/>
          <w:b/>
          <w:i w:val="false"/>
          <w:color w:val="000000"/>
          <w:sz w:val="22"/>
        </w:rPr>
        <w:t xml:space="preserve">Coordination. </w:t>
      </w:r>
      <w:r>
        <w:rPr>
          <w:rFonts w:ascii="Times New Roman" w:hAnsi="Times New Roman"/>
          <w:b w:val="false"/>
          <w:i w:val="false"/>
          <w:color w:val="000000"/>
          <w:sz w:val="22"/>
        </w:rPr>
        <w:t>The AAA and AAA contractors shall coordinate activities with other community agencies and volunteer organizations to provide the types of services described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7599B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17—14.6</w:t>
      </w:r>
      <w:r>
        <w:rPr>
          <w:rFonts w:ascii="Times New Roman" w:hAnsi="Times New Roman"/>
          <w:b/>
          <w:i w:val="false"/>
          <w:color w:val="000000"/>
          <w:sz w:val="22"/>
        </w:rPr>
        <w:t xml:space="preserve">(231,249H) </w:t>
      </w:r>
      <w:r>
        <w:rPr>
          <w:rFonts w:ascii="Times New Roman" w:hAnsi="Times New Roman"/>
          <w:b/>
          <w:i w:val="false"/>
          <w:color w:val="000000"/>
          <w:sz w:val="22"/>
        </w:rPr>
        <w:t xml:space="preserve">Service categories. </w:t>
      </w:r>
      <w:r>
        <w:rPr>
          <w:rFonts w:ascii="Times New Roman" w:hAnsi="Times New Roman"/>
          <w:b w:val="false"/>
          <w:i w:val="false"/>
          <w:color w:val="000000"/>
          <w:sz w:val="22"/>
        </w:rPr>
        <w:t>Each AAA shall provide all of the following categories of service under this chapter. Services may be provided to individuals or to groups directly, or through contract procedures as specified in 17 IAC 6. The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available services. </w:t>
      </w:r>
      <w:r>
        <w:rPr>
          <w:rFonts w:ascii="Times New Roman" w:hAnsi="Times New Roman"/>
          <w:b w:val="false"/>
          <w:i w:val="false"/>
          <w:color w:val="000000"/>
          <w:sz w:val="22"/>
        </w:rPr>
        <w:t>This may include, but is not limited to, providing to family caregivers newsletters, seminars or other types of group presentations which identify and explain the various services that may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color w:val="000000"/>
          <w:sz w:val="22"/>
        </w:rPr>
        <w:t xml:space="preserve">Access to services. </w:t>
      </w:r>
      <w:r>
        <w:rPr>
          <w:rFonts w:ascii="Times New Roman" w:hAnsi="Times New Roman"/>
          <w:b w:val="false"/>
          <w:i w:val="false"/>
          <w:color w:val="000000"/>
          <w:sz w:val="22"/>
        </w:rPr>
        <w:t>This may include, but is not limited to: information, assistance, referral, outreach, and adequate follow-up procedures to ensure that, to the maximum extent practicable, individuals receive the needed services that are available within their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color w:val="000000"/>
          <w:sz w:val="22"/>
        </w:rPr>
        <w:t xml:space="preserve">Counseling, training and support groups. </w:t>
      </w:r>
      <w:r>
        <w:rPr>
          <w:rFonts w:ascii="Times New Roman" w:hAnsi="Times New Roman"/>
          <w:b w:val="false"/>
          <w:i w:val="false"/>
          <w:color w:val="000000"/>
          <w:sz w:val="22"/>
        </w:rPr>
        <w:t>This may include, but is not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or group support programs that develop or strengthen informal or family support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Formal or informal opportunities for individuals to acquire knowledge, experience or skills in caregiving.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Counseling to enable the caregiver and family to resolve problems or to relieve temporary stresses. Mental health and behavioral health services shall be provided by a mental health professional licensed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w:t>
      </w:r>
      <w:r>
        <w:rPr>
          <w:rFonts w:ascii="Times New Roman" w:hAnsi="Times New Roman"/>
          <w:b w:val="false"/>
          <w:i w:val="false"/>
          <w:color w:val="000000"/>
          <w:sz w:val="22"/>
        </w:rPr>
        <w:t> </w:t>
      </w:r>
      <w:r>
        <w:rPr>
          <w:rFonts w:ascii="Times New Roman" w:hAnsi="Times New Roman"/>
          <w:b w:val="false"/>
          <w:i/>
          <w:color w:val="000000"/>
          <w:sz w:val="22"/>
        </w:rPr>
        <w:t xml:space="preserve">Respite care. </w:t>
      </w:r>
      <w:r>
        <w:rPr>
          <w:rFonts w:ascii="Times New Roman" w:hAnsi="Times New Roman"/>
          <w:b w:val="false"/>
          <w:i w:val="false"/>
          <w:color w:val="000000"/>
          <w:sz w:val="22"/>
        </w:rPr>
        <w:t>This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In-home respite.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provided by the care recipient attending an adult day service program, senior center or other nonresidential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Institutional respite provided by placing the recipient in a setting such as a nursing facility for a short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Children attending summer camps or similar short-term care while the children are being cared for by grandparents.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14.6(5)</w:t>
      </w:r>
      <w:r>
        <w:rPr>
          <w:rFonts w:ascii="Times New Roman" w:hAnsi="Times New Roman"/>
          <w:b w:val="false"/>
          <w:i w:val="false"/>
          <w:color w:val="000000"/>
          <w:sz w:val="22"/>
        </w:rPr>
        <w:t> </w:t>
      </w:r>
      <w:r>
        <w:rPr>
          <w:rFonts w:ascii="Times New Roman" w:hAnsi="Times New Roman"/>
          <w:b w:val="false"/>
          <w:i/>
          <w:color w:val="000000"/>
          <w:sz w:val="22"/>
        </w:rPr>
        <w:t xml:space="preserve">Supplemental services. </w:t>
      </w:r>
      <w:r>
        <w:rPr>
          <w:rFonts w:ascii="Times New Roman" w:hAnsi="Times New Roman"/>
          <w:b w:val="false"/>
          <w:i w:val="false"/>
          <w:color w:val="000000"/>
          <w:sz w:val="22"/>
        </w:rPr>
        <w:t>This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Chore services such as heavy housework, yard work, or sidewalk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emergency in-home or wearable response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Legal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Material aid in the form of goods or services such as food, smoke detectors, eyeglasses, security devices, or other similar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Assisted transportation using vehicles which may include provision of assistance, including an escort, to a person with physical or cognitive difficulties.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7599B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17—14.7</w:t>
      </w:r>
      <w:r>
        <w:rPr>
          <w:rFonts w:ascii="Times New Roman" w:hAnsi="Times New Roman"/>
          <w:b/>
          <w:i w:val="false"/>
          <w:color w:val="000000"/>
          <w:sz w:val="22"/>
        </w:rPr>
        <w:t xml:space="preserve">(231,249H)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Conflict of interest includes any action or failure to act that may be an actual or perceived conflict between official duties and personal interest. Conflict of interest exists when the family caregiver program or any entity or individual: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Uses an official position for private gain (other than salary).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Gives preferential treatment to any entity or individual or fails to act impartially in the conduct of official duties.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Impedes or adversely affects governmental efficiency or economy.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Engages in conduct that could adversely affect the confidence of the public in the integrity of the family caregiver program.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Creates circumstances where it might reasonably be perceived that an entity’s or individual’s judgment could be influenced by the nature of the circumstances.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Uses any property of the person giving care or the person receiving care for personal use.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Provides another direct service to a consumer assigned to the family caregiver program.</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family caregiver program disproportionately chooses one provider over another provider or indicates it may be attempting to influence the selection of a specific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7599B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17—14.8</w:t>
      </w:r>
      <w:r>
        <w:rPr>
          <w:rFonts w:ascii="Times New Roman" w:hAnsi="Times New Roman"/>
          <w:b/>
          <w:i w:val="false"/>
          <w:color w:val="000000"/>
          <w:sz w:val="22"/>
        </w:rPr>
        <w:t xml:space="preserve">(231,249H)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Except by written consent of the consumer or the consumer’s legal representative, the use or disclosure by any person of any information concerning a consumer for any purpose not directly connected with the administration of the responsibilities of the department, AAA, or authorized service provider is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7599B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17—14.9</w:t>
      </w:r>
      <w:r>
        <w:rPr>
          <w:rFonts w:ascii="Times New Roman" w:hAnsi="Times New Roman"/>
          <w:b/>
          <w:i w:val="false"/>
          <w:color w:val="000000"/>
          <w:sz w:val="22"/>
        </w:rPr>
        <w:t xml:space="preserve">(231,249H) </w:t>
      </w:r>
      <w:r>
        <w:rPr>
          <w:rFonts w:ascii="Times New Roman" w:hAnsi="Times New Roman"/>
          <w:b/>
          <w:i w:val="false"/>
          <w:color w:val="000000"/>
          <w:sz w:val="22"/>
        </w:rPr>
        <w:t xml:space="preserve">Quality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color w:val="000000"/>
          <w:sz w:val="22"/>
        </w:rPr>
        <w:t xml:space="preserve">AAA staff requirements. </w:t>
      </w:r>
      <w:r>
        <w:rPr>
          <w:rFonts w:ascii="Times New Roman" w:hAnsi="Times New Roman"/>
          <w:b w:val="false"/>
          <w:i w:val="false"/>
          <w:color w:val="000000"/>
          <w:sz w:val="22"/>
        </w:rPr>
        <w:t>Each AAA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the full-time equivalent for its family caregiver program, considering current funding levels among other factors, and shall staff the program to best meet the needs of the service delivery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 or contract for a designated family caregiver specialist with the following demonstrated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bachelor’s degree in the human services field or an associate’s degree in the human services field and two years of employment in information and referral positions, which may be substituted for a bachelor’s degree. Family caregiver specialists employed prior to April 1, 2009, are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or prospective contractor does not have the certification required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subrule 14.9(2), the applicant shall have three years of prior employment in information and referral 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family caregiver specialist shall possess and maintain a current Certification for Information and Referral (I&amp;R) Specialists in Aging (CIRS-A) from the Alliance of Information and Referral Systems at the time of employment or contract;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employed on or prior to April 1, 2009, a family caregiver specialist shall obtain the certification required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within six months of April 1, 2009, or upon meeting eligibility requirements for certification which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one year of employment in I&amp;R for specialists with a bachelor's or higher degree;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years of employment in I&amp;R for specialists with an associate's/community college degree;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Three years of employment in I&amp;R for specialists with a high school diploma or 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Part-time staff and volunteers shall possess and maintain a CIRS-A.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14.9(3)</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The family caregiver specialist shall attend during the term of employment annual and other family caregiver specialist training when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w:t>
      </w:r>
      <w:r>
        <w:rPr>
          <w:rFonts w:ascii="Times New Roman" w:hAnsi="Times New Roman"/>
          <w:b w:val="false"/>
          <w:i w:val="false"/>
          <w:color w:val="000000"/>
          <w:sz w:val="22"/>
        </w:rPr>
        <w:t> </w:t>
      </w:r>
      <w:r>
        <w:rPr>
          <w:rFonts w:ascii="Times New Roman" w:hAnsi="Times New Roman"/>
          <w:b w:val="false"/>
          <w:i/>
          <w:color w:val="000000"/>
          <w:sz w:val="22"/>
        </w:rPr>
        <w:t xml:space="preserve">Local contract monitoring. </w:t>
      </w:r>
      <w:r>
        <w:rPr>
          <w:rFonts w:ascii="Times New Roman" w:hAnsi="Times New Roman"/>
          <w:b w:val="false"/>
          <w:i w:val="false"/>
          <w:color w:val="000000"/>
          <w:sz w:val="22"/>
        </w:rPr>
        <w:t xml:space="preserve">The AAA shall utilize a system to monitor all service providers’ performance under the contract and promptly ensure that any problems that arise are corrected. All contracts shall be created and monitored under the provisions of </w:t>
      </w:r>
      <w:hyperlink r:id="rId6">
        <w:r>
          <w:rPr>
            <w:rStyle w:val="Hyperlink"/>
            <w:rFonts w:ascii="Times New Roman" w:hAnsi="Times New Roman"/>
            <w:b w:val="false"/>
            <w:i w:val="false"/>
            <w:color w:val="000000"/>
            <w:sz w:val="22"/>
          </w:rPr>
          <w:t>17—6.11</w:t>
        </w:r>
      </w:hyperlink>
      <w:r>
        <w:rPr>
          <w:rFonts w:ascii="Times New Roman" w:hAnsi="Times New Roman"/>
          <w:b w:val="false"/>
          <w:i w:val="false"/>
          <w:color w:val="000000"/>
          <w:sz w:val="22"/>
        </w:rPr>
        <w:t xml:space="preserve">(231) or </w:t>
      </w:r>
      <w:hyperlink r:id="rId7">
        <w:r>
          <w:rPr>
            <w:rStyle w:val="Hyperlink"/>
            <w:rFonts w:ascii="Times New Roman" w:hAnsi="Times New Roman"/>
            <w:b w:val="false"/>
            <w:i w:val="false"/>
            <w:color w:val="000000"/>
            <w:sz w:val="22"/>
          </w:rPr>
          <w:t>17—5.15</w:t>
        </w:r>
      </w:hyperlink>
      <w:r>
        <w:rPr>
          <w:rFonts w:ascii="Times New Roman" w:hAnsi="Times New Roman"/>
          <w:b w:val="false"/>
          <w:i w:val="false"/>
          <w:color w:val="000000"/>
          <w:sz w:val="22"/>
        </w:rPr>
        <w:t>(231),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subrule, monitoring means any planned, ongoing, or periodic activity that measures outcomes and ensures contractor compliance with the terms and conditions of the contract and customer satisfaction and also ensures that the contractor meets the needs of the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AAA shall conduct caregiver evaluations to determine the quality of services and goods provided, including but not limited to customer satisfaction surveys, inspections, and evaluation of goods and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Monitoring activities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Periodic contact, including on-site visits, to maintain a continuous dialogue with the contractor and to review progress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Requiring the contractor to submit progress reports or other appropriate data based on predefined contract criteria. These reports shall include documentation indicating where and how moneys received were expended and results of caregiver performance evaluations and customer satisfaction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Reviewing the contractor’s reports and verifying the services provided to determine if those services adhere to the contract. Substandard performance shall be identified and addressed appropriately, up to and including cancellation of the contract. Any corrective action shall be completed as soon as possible to maintain quality service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Comparing contract billings with the terms contained in the contract to ensure that costs or payments are within contract parameters.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7599B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17—14.10</w:t>
      </w:r>
      <w:r>
        <w:rPr>
          <w:rFonts w:ascii="Times New Roman" w:hAnsi="Times New Roman"/>
          <w:b/>
          <w:i w:val="false"/>
          <w:color w:val="000000"/>
          <w:sz w:val="22"/>
        </w:rPr>
        <w:t xml:space="preserve">(231,249H) </w:t>
      </w:r>
      <w:r>
        <w:rPr>
          <w:rFonts w:ascii="Times New Roman" w:hAnsi="Times New Roman"/>
          <w:b/>
          <w:i w:val="false"/>
          <w:color w:val="000000"/>
          <w:sz w:val="22"/>
        </w:rPr>
        <w:t xml:space="preserve">Reports. </w:t>
      </w:r>
      <w:r>
        <w:rPr>
          <w:rFonts w:ascii="Times New Roman" w:hAnsi="Times New Roman"/>
          <w:b w:val="false"/>
          <w:i w:val="false"/>
          <w:color w:val="000000"/>
          <w:sz w:val="22"/>
        </w:rPr>
        <w:t>The AAA shall record all services and submit all fiscal and performance reports for this program to the department in accordance with current instructions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7599B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17—14.11</w:t>
      </w:r>
      <w:r>
        <w:rPr>
          <w:rFonts w:ascii="Times New Roman" w:hAnsi="Times New Roman"/>
          <w:b/>
          <w:i w:val="false"/>
          <w:color w:val="000000"/>
          <w:sz w:val="22"/>
        </w:rPr>
        <w:t xml:space="preserve">(231,249H) </w:t>
      </w:r>
      <w:r>
        <w:rPr>
          <w:rFonts w:ascii="Times New Roman" w:hAnsi="Times New Roman"/>
          <w:b/>
          <w:i w:val="false"/>
          <w:color w:val="000000"/>
          <w:sz w:val="22"/>
        </w:rPr>
        <w:t xml:space="preserve">Failure to meet program requirements; waiver of standards. </w:t>
      </w:r>
      <w:r>
        <w:rPr>
          <w:rFonts w:ascii="Times New Roman" w:hAnsi="Times New Roman"/>
          <w:b w:val="false"/>
          <w:i w:val="false"/>
          <w:color w:val="000000"/>
          <w:sz w:val="22"/>
        </w:rPr>
        <w:t xml:space="preserve">When an AAA fails to meet the requirements of this chapter, the department shall follow procedures outlined in </w:t>
      </w:r>
      <w:hyperlink r:id="rId8">
        <w:r>
          <w:rPr>
            <w:rStyle w:val="Hyperlink"/>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IAC</w:t>
        </w:r>
        <w:r>
          <w:rPr>
            <w:rFonts w:ascii="Times New Roman" w:hAnsi="Times New Roman"/>
            <w:b w:val="false"/>
            <w:i w:val="false"/>
            <w:color w:val="000000"/>
            <w:sz w:val="22"/>
          </w:rPr>
          <w:t> </w:t>
        </w:r>
        <w:r>
          <w:rPr>
            <w:rFonts w:ascii="Times New Roman" w:hAnsi="Times New Roman"/>
            <w:b w:val="false"/>
            <w:i w:val="false"/>
            <w:color w:val="000000"/>
            <w:sz w:val="22"/>
          </w:rPr>
          <w:t>4</w:t>
        </w:r>
      </w:hyperlink>
    </w:p>
    <w:p>
      <w:pPr>
        <w:spacing w:before="0" w:after="0"/>
        <w:ind w:left="120"/>
        <w:jc w:val="both"/>
      </w:pPr>
    </w:p>
    <w:p>
      <w:pPr>
        <w:spacing w:before="0" w:after="0"/>
        <w:ind w:left="0"/>
        <w:jc w:val="both"/>
      </w:pPr>
      <w:r>
        <w:rPr>
          <w:rFonts w:ascii="Times New Roman" w:hAnsi="Times New Roman"/>
          <w:b w:val="false"/>
          <w:i w:val="false"/>
          <w:color w:val="000000"/>
          <w:sz w:val="22"/>
        </w:rPr>
        <w:t xml:space="preserve">. Provisions of this chapter may be waived pursuant to </w:t>
      </w:r>
      <w:hyperlink r:id="rId9">
        <w:r>
          <w:rPr>
            <w:rStyle w:val="Hyperlink"/>
            <w:rFonts w:ascii="Times New Roman" w:hAnsi="Times New Roman"/>
            <w:b w:val="false"/>
            <w:i w:val="false"/>
            <w:color w:val="000000"/>
            <w:sz w:val="22"/>
          </w:rPr>
          <w:t>17 IAC 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7599B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17—14.12</w:t>
      </w:r>
      <w:r>
        <w:rPr>
          <w:rFonts w:ascii="Times New Roman" w:hAnsi="Times New Roman"/>
          <w:b/>
          <w:i w:val="false"/>
          <w:color w:val="000000"/>
          <w:sz w:val="22"/>
        </w:rPr>
        <w:t xml:space="preserve">(231,249H) </w:t>
      </w:r>
      <w:r>
        <w:rPr>
          <w:rFonts w:ascii="Times New Roman" w:hAnsi="Times New Roman"/>
          <w:b/>
          <w:i w:val="false"/>
          <w:color w:val="000000"/>
          <w:sz w:val="22"/>
        </w:rPr>
        <w:t xml:space="preserve">Severability. </w:t>
      </w:r>
      <w:r>
        <w:rPr>
          <w:rFonts w:ascii="Times New Roman" w:hAnsi="Times New Roman"/>
          <w:b w:val="false"/>
          <w:i w:val="false"/>
          <w:color w:val="000000"/>
          <w:sz w:val="22"/>
        </w:rPr>
        <w:t>Should any rule, subrule, paragraph, phrase, sentence or clause of this chapter be declared invalid or unconstitutional for any reason, the remainder of this chapter shall not be affected thereby.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7599B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249H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7599B</w:t>
      </w:r>
      <w:r>
        <w:rPr>
          <w:rFonts w:ascii="Times New Roman" w:hAnsi="Times New Roman"/>
          <w:b w:val="false"/>
          <w:i w:val="false"/>
          <w:color w:val="000000"/>
          <w:sz w:val="21"/>
        </w:rPr>
        <w:t xml:space="preserve"> (Notice ARC 7456B, IAB 12/31/08)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Emergency ARC 8489B, IAB 1/27/10, effective 1/7/10]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7.14.3.pdf" Type="http://schemas.openxmlformats.org/officeDocument/2006/relationships/hyperlink" Id="rId5"/>
    <Relationship TargetMode="External" Target="https://www.legis.iowa.gov/docs/iac/rule/17.6.11.pdf" Type="http://schemas.openxmlformats.org/officeDocument/2006/relationships/hyperlink" Id="rId6"/>
    <Relationship TargetMode="External" Target="https://www.legis.iowa.gov/docs/iac/rule/17.5.15.pdf" Type="http://schemas.openxmlformats.org/officeDocument/2006/relationships/hyperlink" Id="rId7"/>
    <Relationship TargetMode="External" Target="https://www.legis.iowa.gov/docs/iac/chapter/17.4.pdf" Type="http://schemas.openxmlformats.org/officeDocument/2006/relationships/hyperlink" Id="rId8"/>
    <Relationship TargetMode="External" Target="https://www.legis.iowa.gov/docs/iac/chapter/17.11.pdf" Type="http://schemas.openxmlformats.org/officeDocument/2006/relationships/hyperlink" Id="rId9"/>
    <Relationship TargetMode="External" Target="https://www.legis.iowa.gov/docs/ico/chapter/231.pdf" Type="http://schemas.openxmlformats.org/officeDocument/2006/relationships/hyperlink" Id="rId10"/>
    <Relationship TargetMode="External" Target="https://www.legis.iowa.gov/docs/ico/chapter/249H.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