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RULES OF PRACTICE</w:t>
      </w:r>
    </w:p>
    <w:p>
      <w:pPr>
        <w:spacing w:before="0" w:after="0"/>
        <w:ind w:left="120"/>
        <w:jc w:val="center"/>
      </w:pPr>
      <w:r>
        <w:rPr>
          <w:rFonts w:ascii="Times New Roman" w:hAnsi="Times New Roman"/>
          <w:b w:val="false"/>
          <w:i w:val="false"/>
          <w:color w:val="000000"/>
          <w:sz w:val="14"/>
        </w:rPr>
        <w:t>[Prior to 1/13/88, see Civil Rights 240—1.2, Ch 9,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161—1.1</w:t>
      </w:r>
      <w:r>
        <w:rPr>
          <w:rFonts w:ascii="Times New Roman" w:hAnsi="Times New Roman"/>
          <w:b/>
          <w:i w:val="false"/>
          <w:color w:val="000000"/>
          <w:sz w:val="22"/>
        </w:rPr>
        <w:t xml:space="preserve">(216) </w:t>
      </w:r>
      <w:r>
        <w:rPr>
          <w:rFonts w:ascii="Times New Roman" w:hAnsi="Times New Roman"/>
          <w:b/>
          <w:i w:val="false"/>
          <w:color w:val="000000"/>
          <w:sz w:val="22"/>
        </w:rPr>
        <w:t xml:space="preserve">Organization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The Iowa civil rights commission is a seven-member body. Members are appointed by the governor pursuant to Iowa Code section </w:t>
      </w:r>
      <w:hyperlink r:id="rId5">
        <w:r>
          <w:rPr>
            <w:rStyle w:val="Hyperlink"/>
            <w:rFonts w:ascii="Times New Roman" w:hAnsi="Times New Roman"/>
            <w:b w:val="false"/>
            <w:i w:val="false"/>
            <w:color w:val="000000"/>
            <w:sz w:val="22"/>
          </w:rPr>
          <w:t>216.3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Iowa civil rights commission, hereinafter referred to as “commission,” is located on the First Floor, Grimes State Office Building, 400 E. 14th Street, Des Moines, Iowa 50319-1004; telephone (515)281-4121; toll-free in Iowa only 1-800-457-4416; facsimile transmission (fax) (515)242-5840. 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or the business hours set by the office of the governor or otherwise established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The executive director is responsible for the day-to-day administration of the commission’s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Electronic attendance of commissioners.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commissioner wishing to attend the commission meeting by electronic means shall notify the executive director of this intent. The executive director will then take all reasonable measures to ensure that the necessary equipment is available at the site selected for the commission meeting. The commissioner attending by electronic means is responsible for ensuring that adequate equipment is available at the commissioner’s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Whenever any commissioners attend by electronic means, public access to the conversation of the commission will be allowed at the location of at least one of the commissioners. Unless good cause requires otherwise, the location where public access to the conversation is provided shall be a location reasonably accessible to the public. If the location is not reasonably accessible to the public, the nature of the good cause justifying inaccessibility shall be stated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attendance of multiple commissioners. </w:t>
      </w:r>
      <w:r>
        <w:rPr>
          <w:rFonts w:ascii="Times New Roman" w:hAnsi="Times New Roman"/>
          <w:b w:val="false"/>
          <w:i w:val="false"/>
          <w:color w:val="000000"/>
          <w:sz w:val="22"/>
        </w:rPr>
        <w:t>If at the time a commissioner notifies the executive director of the intent to attend electronically that commissioner’s electronic attendance would mean that four or more commissioners would be attending separately via electronic means, then that commissioner may not attend by electronic means unless the in-person attendance of any four of the commissioners attending the meeting at any of the available meeting sites is impossible or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Conducting electronic meeting. </w:t>
      </w:r>
      <w:r>
        <w:rPr>
          <w:rFonts w:ascii="Times New Roman" w:hAnsi="Times New Roman"/>
          <w:b w:val="false"/>
          <w:i w:val="false"/>
          <w:color w:val="000000"/>
          <w:sz w:val="22"/>
        </w:rPr>
        <w:t>Whenever four or more commissioners are separately attending a commission meeting by electronic means, the commission shall conduct the meeting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keep detailed minutes of all discussion, all persons present and all action. The commission shall electronically record all proceedings in the meeting and retain such recordings for no less than one year from the 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minutes of the meeting shall include a statement explaining why a meeting in person was impossible or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public notice of the meeting shall state the location of the meeting to be the location where public access to the conversation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161—1.2</w:t>
      </w:r>
      <w:r>
        <w:rPr>
          <w:rFonts w:ascii="Times New Roman" w:hAnsi="Times New Roman"/>
          <w:b/>
          <w:i w:val="false"/>
          <w:color w:val="000000"/>
          <w:sz w:val="22"/>
        </w:rPr>
        <w:t xml:space="preserve">(216) </w:t>
      </w:r>
      <w:r>
        <w:rPr>
          <w:rFonts w:ascii="Times New Roman" w:hAnsi="Times New Roman"/>
          <w:b/>
          <w:i w:val="false"/>
          <w:color w:val="000000"/>
          <w:sz w:val="22"/>
        </w:rPr>
        <w:t xml:space="preserve">Commission procedure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Initiation of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or state agency may file a petition for rule making with the commission at its location as defined in </w:t>
      </w:r>
      <w:hyperlink r:id="rId6">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A petition is deemed filed when it is received by that office. The commission shall provide the petitioner with a file-stamped copy of the petition if the petitioner provides the commission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CIVIL RIGHTS COMMISSION</w:t>
            </w:r>
          </w:p>
        </w:tc>
      </w:tr>
      <w:tr>
        <w:trPr>
          <w:trHeight w:val="85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 repeal)</w:t>
            </w:r>
          </w:p>
          <w:p>
            <w:pPr>
              <w:spacing w:before="0" w:after="0"/>
              <w:ind w:left="160"/>
              <w:jc w:val="left"/>
            </w:pPr>
            <w:r>
              <w:rPr>
                <w:rFonts w:ascii="Times New Roman" w:hAnsi="Times New Roman"/>
                <w:b w:val="false"/>
                <w:i w:val="false"/>
                <w:color w:val="000000"/>
                <w:sz w:val="16"/>
              </w:rPr>
              <w:t>of rules relating to (state subject matter).</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commission’s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act upon the request within 60 days after its submission in accordance with Iowa Code section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initiate rule-making procedures upon its own motion in accordance with Iowa Code section </w:t>
      </w:r>
      <w:hyperlink r:id="rId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commission may, before publication of a Notice of Intended Action under Iowa Code section </w:t>
      </w:r>
      <w:hyperlink r:id="rId9">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commission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rule making—contents. </w:t>
      </w:r>
      <w:r>
        <w:rPr>
          <w:rFonts w:ascii="Times New Roman" w:hAnsi="Times New Roman"/>
          <w:b w:val="false"/>
          <w:i w:val="false"/>
          <w:color w:val="000000"/>
          <w:sz w:val="22"/>
        </w:rPr>
        <w:t>At least 35 days before the adoption of a rule, the commission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commission shall include in the notice a statement fully describing the specific subject matter of the omitted portion of the text of the proposed rule, the specific issues to be addressed by that omitted text of the proposed rule, and the range of possible choices being considered by the agency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 xml:space="preserve">For at least 20 days after publication of the Notice of Intended Action, persons may submit argument, data, and views, in writing on the proposed rule. Such written submissions should identify the proposed rule to which they relate and should be submitted to the commission at its location as defined in </w:t>
      </w:r>
      <w:hyperlink r:id="rId10">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commission may, at any time, schedule an oral proceeding on a proposed rule. The commission shall schedule an oral proceeding on a proposed rule if, within 20 days after a published Notice of Intended Action, a written request for an opportunity to make oral presentations is submitted to the commission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This paragraph applies only to those oral rule-making proceedings in which an opportunity to make oral presentations is authorized or required by Iowa Code section </w:t>
      </w:r>
      <w:hyperlink r:id="rId11">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or paragraph </w:t>
      </w:r>
      <w:hyperlink r:id="rId12">
        <w:r>
          <w:rPr>
            <w:rStyle w:val="Hyperlink"/>
            <w:rFonts w:ascii="Times New Roman" w:hAnsi="Times New Roman"/>
            <w:b w:val="false"/>
            <w:i w:val="false"/>
            <w:color w:val="000000"/>
            <w:sz w:val="22"/>
          </w:rPr>
          <w:t>1.2(5)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Scheduling and notice. 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Presiding officer. The commission, a member of the commission, or another person designated by the commission who will be familiar with the substance of the proposed rule, shall preside at the oral proceeding on a proposed rule. If the commission does not preside, the presiding officer shall prepare a memorandum for consideration by the commission summarizing the contents of the presentations made at the oral proceeding unless the commission determines that such a memorandum is unnecessary because the commission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Conduct of the proceeding. 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commission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commission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commission.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questions of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presiding officer in an oral proceeding may permit rebuttal statements and request the filing of written statements subsequent to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commission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The commission shall schedule oral proceedings in rooms accessible to and functional for persons with physical disabilities. Persons who have special requirements should contact the commission at its location as defined in 161—paragraph </w:t>
      </w:r>
      <w:hyperlink r:id="rId13">
        <w:r>
          <w:rPr>
            <w:rStyle w:val="Hyperlink"/>
            <w:rFonts w:ascii="Times New Roman" w:hAnsi="Times New Roman"/>
            <w:b w:val="false"/>
            <w:i w:val="false"/>
            <w:color w:val="000000"/>
            <w:sz w:val="22"/>
          </w:rPr>
          <w:t>1.1(1)“</w:t>
        </w:r>
      </w:hyperlink>
      <w:r>
        <w:rPr>
          <w:rFonts w:ascii="Times New Roman" w:hAnsi="Times New Roman"/>
          <w:b w:val="false"/>
          <w:i/>
          <w:color w:val="000000"/>
          <w:sz w:val="22"/>
        </w:rPr>
        <w:t>b</w:t>
      </w:r>
      <w:r>
        <w:rPr>
          <w:rFonts w:ascii="Times New Roman" w:hAnsi="Times New Roman"/>
          <w:b w:val="false"/>
          <w:i w:val="false"/>
          <w:color w:val="000000"/>
          <w:sz w:val="22"/>
        </w:rPr>
        <w:t>” in advance to arrange access or other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commission shall issue a regulatory analysis of a proposed rule that conforms to the requirements of Iowa Code section </w:t>
      </w:r>
      <w:hyperlink r:id="rId1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commission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commission shall adhere to the time lines described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Contents for request. </w:t>
      </w:r>
      <w:r>
        <w:rPr>
          <w:rFonts w:ascii="Times New Roman" w:hAnsi="Times New Roman"/>
          <w:b w:val="false"/>
          <w:i w:val="false"/>
          <w:color w:val="000000"/>
          <w:sz w:val="22"/>
        </w:rPr>
        <w:t xml:space="preserve">A request for a regulatory analysis is made when it is mailed or delivered to the commission. The request shall be in writing and satisfy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commission shall make available to the maximum extent feasible, copies of the published summary in conformance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written request from the administrative rules review committee or the administrative rules coordinator,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w:t>
      </w:r>
      <w:r>
        <w:rPr>
          <w:rFonts w:ascii="Times New Roman" w:hAnsi="Times New Roman"/>
          <w:b w:val="false"/>
          <w:i/>
          <w:color w:val="000000"/>
          <w:sz w:val="22"/>
        </w:rPr>
        <w:t>a</w:t>
      </w:r>
      <w:r>
        <w:rPr>
          <w:rFonts w:ascii="Times New Roman" w:hAnsi="Times New Roman"/>
          <w:b w:val="false"/>
          <w:i w:val="false"/>
          <w:color w:val="000000"/>
          <w:sz w:val="22"/>
        </w:rPr>
        <w:t>),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or entities which contract with the political subdivisions to provide service must be accompanied by a fiscal impact statement outlining the costs associated with the rule. A fiscal impact statement must satisfy the requirements of Iowa Code section </w:t>
      </w:r>
      <w:hyperlink r:id="rId15">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commission determines at the time it adopts a rule that a fiscal impact statement upon which the rule is based contains errors, the commission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w:t>
      </w:r>
      <w:r>
        <w:rPr>
          <w:rFonts w:ascii="Times New Roman" w:hAnsi="Times New Roman"/>
          <w:b w:val="false"/>
          <w:i w:val="false"/>
          <w:color w:val="000000"/>
          <w:sz w:val="22"/>
        </w:rPr>
        <w:t> </w:t>
      </w:r>
      <w:r>
        <w:rPr>
          <w:rFonts w:ascii="Times New Roman" w:hAnsi="Times New Roman"/>
          <w:b w:val="false"/>
          <w:i/>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commission shall not adopt a rule until the period for making written submissions and oral presentations has expired. Within 180 days after the later of the publication of the Notice of Intended Action, or the end of oral proceedings thereon, the commission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commission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Reliance on commission expertise. </w:t>
      </w:r>
      <w:r>
        <w:rPr>
          <w:rFonts w:ascii="Times New Roman" w:hAnsi="Times New Roman"/>
          <w:b w:val="false"/>
          <w:i w:val="false"/>
          <w:color w:val="000000"/>
          <w:sz w:val="22"/>
        </w:rPr>
        <w:t>Except as otherwise provided by law, the commission may use its own experience, technical competence, specialized knowledge, and judgment in the adoption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w:t>
      </w:r>
      <w:r>
        <w:rPr>
          <w:rFonts w:ascii="Times New Roman" w:hAnsi="Times New Roman"/>
          <w:b w:val="false"/>
          <w:i w:val="false"/>
          <w:color w:val="000000"/>
          <w:sz w:val="22"/>
        </w:rPr>
        <w:t> </w:t>
      </w:r>
      <w:r>
        <w:rPr>
          <w:rFonts w:ascii="Times New Roman" w:hAnsi="Times New Roman"/>
          <w:b w:val="false"/>
          <w:i/>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commission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commence a rule-making proceeding within 60 days of receipt of a petition for rule making seeking the amendment or repeal of a rule that differs from the proposed rule contained in the Notice of Intended Action upon which the rule is based, unless the commission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3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commission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w:t>
      </w:r>
      <w:r>
        <w:rPr>
          <w:rFonts w:ascii="Times New Roman" w:hAnsi="Times New Roman"/>
          <w:b w:val="false"/>
          <w:i w:val="false"/>
          <w:color w:val="000000"/>
          <w:sz w:val="22"/>
        </w:rPr>
        <w:t> </w:t>
      </w:r>
      <w:r>
        <w:rPr>
          <w:rFonts w:ascii="Times New Roman" w:hAnsi="Times New Roman"/>
          <w:b w:val="false"/>
          <w:i/>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requested by a person, either prior to the adoption of a rule or within 30 days after its publication in the Iowa Administrative Bulletin as an adopted rule, the commission shall issue a concise statement of reasons for the rule. Requests for such a statement must be in writing and be delivered to the commission’s office as defined in </w:t>
      </w:r>
      <w:hyperlink r:id="rId16">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commission’s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commission shall issue a concise statement of reasons by the time the rule is adopted or 35 days after receipt of the request,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w:t>
      </w:r>
      <w:r>
        <w:rPr>
          <w:rFonts w:ascii="Times New Roman" w:hAnsi="Times New Roman"/>
          <w:b w:val="false"/>
          <w:i w:val="false"/>
          <w:color w:val="000000"/>
          <w:sz w:val="22"/>
        </w:rPr>
        <w:t> </w:t>
      </w:r>
      <w:r>
        <w:rPr>
          <w:rFonts w:ascii="Times New Roman" w:hAnsi="Times New Roman"/>
          <w:b w:val="false"/>
          <w:i/>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adopted rule by the commission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commission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1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or the commission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1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or the commission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commission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may be obtained from the commission. The commission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commission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commission shall follow the uniform numbering system, form, and style prescribed by 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Filing of rules. </w:t>
      </w:r>
      <w:r>
        <w:rPr>
          <w:rFonts w:ascii="Times New Roman" w:hAnsi="Times New Roman"/>
          <w:b w:val="false"/>
          <w:i w:val="false"/>
          <w:color w:val="000000"/>
          <w:sz w:val="22"/>
        </w:rPr>
        <w:t>The commission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agency shall use the standard form prescribed by 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commission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commission makes a rule effective prior to its indexing and publication in reliance upon the provisions of Iowa Code section </w:t>
      </w:r>
      <w:hyperlink r:id="rId19">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commission shall employ all reasonable efforts to make its contents known to the persons who may be affected by that rule prior to the rule’s indexing and publication. The term “all reasonable efforts” requires the commission to employ the most effective and prompt means of notice rationally calculated to inform potentially affected parties of the following: the effectiveness of the rule under the circumstances, the various alternatives available for this purpose, the comparative costs to the commission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20">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w:t>
      </w:r>
      <w:hyperlink r:id="rId21">
        <w:r>
          <w:rPr>
            <w:rStyle w:val="Hyperlink"/>
            <w:rFonts w:ascii="Times New Roman" w:hAnsi="Times New Roman"/>
            <w:b w:val="false"/>
            <w:i w:val="false"/>
            <w:color w:val="000000"/>
            <w:sz w:val="22"/>
          </w:rPr>
          <w:t>1.2(12)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Review by commission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commission to conduct a formal review of a specified rule. Upon approval of that request by the administrative rules coordinator, the commission shall conduct a formal review of a specified rule to determine whether a new rule should be adopted instead or the rule should be amended or repealed. The commission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commission shall prepare within a reasonable time a written report summarizing its findings, its supporting reasons, and any proposed course of action. The report must include a concise statement of the commission’s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commission or granted by the commission. The report shall describe alternative solutions to resolve the criticisms of the rule, the reasons any were rejected, and any changes made in the rule in response to the criticisms as well as the reasons for the changes. A copy of the commission’s report shall be sent to the administrative rules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161—1.3</w:t>
      </w:r>
      <w:r>
        <w:rPr>
          <w:rFonts w:ascii="Times New Roman" w:hAnsi="Times New Roman"/>
          <w:b/>
          <w:i w:val="false"/>
          <w:color w:val="000000"/>
          <w:sz w:val="22"/>
        </w:rPr>
        <w:t xml:space="preserve">(216) </w:t>
      </w:r>
      <w:r>
        <w:rPr>
          <w:rFonts w:ascii="Times New Roman" w:hAnsi="Times New Roman"/>
          <w:b/>
          <w:i w:val="false"/>
          <w:color w:val="000000"/>
          <w:sz w:val="22"/>
        </w:rPr>
        <w:t xml:space="preserve">Procedures for oral or written presentations.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where oral or written presentations are deemed unnecessary by the commission in accordance with section </w:t>
      </w:r>
      <w:hyperlink r:id="rId22">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commission shall allow for the submission of oral or written presentations, or both, prior to its adoption of any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Interested persons shall have 20 days from the date of publication of notice in the Iowa Administrative Bulletin to submit written requests for oral presentations or to submit with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Notice of date, time and place of oral presentations by requesting parties will be published by appropriate media at least 20 days in advance with specific notice to requesting parties given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Interested parties may be limited to submitting written presentations at the discretion of the commission except when oral presentations are required by Iowa Code section </w:t>
      </w:r>
      <w:hyperlink r:id="rId23">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161—1.4</w:t>
      </w:r>
      <w:r>
        <w:rPr>
          <w:rFonts w:ascii="Times New Roman" w:hAnsi="Times New Roman"/>
          <w:b/>
          <w:i w:val="false"/>
          <w:color w:val="000000"/>
          <w:sz w:val="22"/>
        </w:rPr>
        <w:t xml:space="preserve">(216) </w:t>
      </w:r>
      <w:r>
        <w:rPr>
          <w:rFonts w:ascii="Times New Roman" w:hAnsi="Times New Roman"/>
          <w:b/>
          <w:i w:val="false"/>
          <w:color w:val="000000"/>
          <w:sz w:val="22"/>
        </w:rPr>
        <w:t xml:space="preserve">Procedure for obtaining declaratory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Petition for declaratory order. </w:t>
      </w:r>
      <w:r>
        <w:rPr>
          <w:rFonts w:ascii="Times New Roman" w:hAnsi="Times New Roman"/>
          <w:b w:val="false"/>
          <w:i w:val="false"/>
          <w:color w:val="000000"/>
          <w:sz w:val="22"/>
        </w:rPr>
        <w:t xml:space="preserve">Any person may file a petition with the commission for a declaratory order as to the applicability to specified circumstances of a statute, rule, or order within the primary jurisdiction of the commission, at its location as defined in </w:t>
      </w:r>
      <w:hyperlink r:id="rId24">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xml:space="preserve"> A petition is deemed filed when it is received by that office. The commission shall provide the petitioner with a file-stamped copy of the petition if the petitioner provides the commission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887"/>
        <w:gridCol w:w="1573"/>
        <w:gridCol w:w="373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CIVIL RIGHTS COMMISSION</w:t>
            </w:r>
          </w:p>
        </w:tc>
      </w:tr>
      <w:tr>
        <w:trPr>
          <w:trHeight w:val="855" w:hRule="atLeast"/>
        </w:trPr>
        <w:tc>
          <w:tcPr>
            <w:tcW w:w="5887"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373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by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commission shall give notice of the petition to all persons not served by the petitioner pursuant to </w:t>
      </w:r>
      <w:hyperlink r:id="rId26">
        <w:r>
          <w:rPr>
            <w:rStyle w:val="Hyperlink"/>
            <w:rFonts w:ascii="Times New Roman" w:hAnsi="Times New Roman"/>
            <w:b w:val="false"/>
            <w:i w:val="false"/>
            <w:color w:val="000000"/>
            <w:sz w:val="22"/>
          </w:rPr>
          <w:t>1.4(6)</w:t>
        </w:r>
      </w:hyperlink>
      <w:r>
        <w:rPr>
          <w:rFonts w:ascii="Times New Roman" w:hAnsi="Times New Roman"/>
          <w:b w:val="false"/>
          <w:i w:val="false"/>
          <w:color w:val="000000"/>
          <w:sz w:val="22"/>
        </w:rPr>
        <w:t xml:space="preserve"> to whom notice is required by any provision of law. The commission may also give notice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30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commission office. Such a petition is deemed filed when it is received by that office. The commission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CIVIL RIGHTS COMMISSION</w:t>
            </w:r>
          </w:p>
        </w:tc>
      </w:tr>
      <w:tr>
        <w:trPr>
          <w:trHeight w:val="85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cited in original petition).</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or any intervenor may file a brief in support of the position urged. The commission may request a brief from the petitioner, any intervenor, or from any other person concerning the questions raised.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Inquiries concerning the status of a declaratory order proceeding may be made to the executive director at the commission’s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with the commission at its location as defined in </w:t>
      </w:r>
      <w:hyperlink r:id="rId27">
        <w:r>
          <w:rPr>
            <w:rStyle w:val="Hyperlink"/>
            <w:rFonts w:ascii="Times New Roman" w:hAnsi="Times New Roman"/>
            <w:b w:val="false"/>
            <w:i w:val="false"/>
            <w:color w:val="000000"/>
            <w:sz w:val="22"/>
          </w:rPr>
          <w:t>161—paragraph 1.1(1)</w:t>
        </w:r>
        <w:r>
          <w:rPr>
            <w:rFonts w:ascii="Times New Roman" w:hAnsi="Times New Roman"/>
            <w:b w:val="false"/>
            <w:i/>
            <w:color w:val="000000"/>
            <w:sz w:val="22"/>
          </w:rPr>
          <w:t>“b.”</w:t>
        </w:r>
      </w:hyperlink>
      <w:r>
        <w:rPr>
          <w:rFonts w:ascii="Times New Roman" w:hAnsi="Times New Roman"/>
          <w:b w:val="false"/>
          <w:i w:val="false"/>
          <w:color w:val="000000"/>
          <w:sz w:val="22"/>
        </w:rPr>
        <w:t xml:space="preserve"> All petitions, briefs, or other papers that are required to be served upon a party shall be filed simultaneously with the Iowa civil rights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shall be by regular mail. Time of filing and proof of mailing shall be as provided by </w:t>
      </w:r>
      <w:hyperlink r:id="rId28">
        <w:r>
          <w:rPr>
            <w:rStyle w:val="Hyperlink"/>
            <w:rFonts w:ascii="Times New Roman" w:hAnsi="Times New Roman"/>
            <w:b w:val="false"/>
            <w:i w:val="false"/>
            <w:color w:val="000000"/>
            <w:sz w:val="22"/>
          </w:rPr>
          <w:t>161—subrule 3.5(8)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Upon request by petitioner, the commission must schedule a brief and informal meeting between the original petitioner, all intervenors, and the commission, a member of the commission, or a member of the staff of the commission, to discuss the questions raised. The commission may solicit comments from any person on the questions raised. Also, comments on the questions raised may be submitted to the commission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13(5), after receipt of a petition for a declaratory order, the executive director or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Iowa Code section </w:t>
      </w:r>
      <w:hyperlink r:id="rId29">
        <w:r>
          <w:rPr>
            <w:rStyle w:val="Hyperlink"/>
            <w:rFonts w:ascii="Times New Roman" w:hAnsi="Times New Roman"/>
            <w:b w:val="false"/>
            <w:i w:val="false"/>
            <w:color w:val="000000"/>
            <w:sz w:val="22"/>
          </w:rPr>
          <w:t>216.17(1)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20 days of the issuance of a declaratory order, the petitioner or intervenors may appeal that order to the commissioners. The commissioners will consider the appeal at a subsequent commissioners’ meeting and will either affirm, overturn, or remand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w:t>
      </w:r>
      <w:r>
        <w:rPr>
          <w:rFonts w:ascii="Times New Roman" w:hAnsi="Times New Roman"/>
          <w:b w:val="false"/>
          <w:i w:val="false"/>
          <w:color w:val="000000"/>
          <w:sz w:val="22"/>
        </w:rPr>
        <w:t> </w:t>
      </w:r>
      <w:r>
        <w:rPr>
          <w:rFonts w:ascii="Times New Roman" w:hAnsi="Times New Roman"/>
          <w:b w:val="false"/>
          <w:i/>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commission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commission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w:t>
      </w:r>
      <w:r>
        <w:rPr>
          <w:rFonts w:ascii="Times New Roman" w:hAnsi="Times New Roman"/>
          <w:b w:val="false"/>
          <w:i w:val="false"/>
          <w:color w:val="000000"/>
          <w:sz w:val="22"/>
        </w:rPr>
        <w:t> </w:t>
      </w:r>
      <w:r>
        <w:rPr>
          <w:rFonts w:ascii="Times New Roman" w:hAnsi="Times New Roman"/>
          <w:b w:val="false"/>
          <w:i/>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Effect of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commission,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commission. The issuance of a declaratory order constitutes final agency action on the petition.</w:t>
      </w:r>
    </w:p>
    <w:p>
      <w:pPr>
        <w:spacing w:before="0" w:after="0"/>
        <w:ind w:left="120"/>
        <w:jc w:val="both"/>
      </w:pPr>
      <w:r>
        <w:rPr>
          <w:rFonts w:ascii="Times New Roman" w:hAnsi="Times New Roman"/>
          <w:b/>
          <w:i w:val="false"/>
          <w:color w:val="000000"/>
          <w:sz w:val="22"/>
        </w:rPr>
        <w:t>161—1.5</w:t>
      </w:r>
      <w:r>
        <w:rPr>
          <w:rFonts w:ascii="Times New Roman" w:hAnsi="Times New Roman"/>
          <w:b/>
          <w:i w:val="false"/>
          <w:color w:val="000000"/>
          <w:sz w:val="22"/>
        </w:rPr>
        <w:t xml:space="preserve">(216) </w:t>
      </w:r>
      <w:r>
        <w:rPr>
          <w:rFonts w:ascii="Times New Roman" w:hAnsi="Times New Roman"/>
          <w:b/>
          <w:i w:val="false"/>
          <w:color w:val="000000"/>
          <w:sz w:val="22"/>
        </w:rPr>
        <w:t xml:space="preserve">Forms. </w:t>
      </w:r>
      <w:r>
        <w:rPr>
          <w:rFonts w:ascii="Times New Roman" w:hAnsi="Times New Roman"/>
          <w:b w:val="false"/>
          <w:i w:val="false"/>
          <w:color w:val="000000"/>
          <w:sz w:val="22"/>
        </w:rPr>
        <w:t>Forms commonly used by the commission are generally available through the commission’s Web site or by telephoning the commission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“Charge of Discrimination,” </w:t>
      </w:r>
      <w:r>
        <w:rPr>
          <w:rFonts w:ascii="Times New Roman" w:hAnsi="Times New Roman"/>
          <w:b w:val="false"/>
          <w:i w:val="false"/>
          <w:color w:val="000000"/>
          <w:sz w:val="22"/>
        </w:rPr>
        <w:t>EEOC 5c, for a complaint alleging a discriminatory or unfair practice or act in all jurisdictional areas except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“Housing Discrimination Complaint,” </w:t>
      </w:r>
      <w:r>
        <w:rPr>
          <w:rFonts w:ascii="Times New Roman" w:hAnsi="Times New Roman"/>
          <w:b w:val="false"/>
          <w:i w:val="false"/>
          <w:color w:val="000000"/>
          <w:sz w:val="22"/>
        </w:rPr>
        <w:t>HUD 903, for a complaint alleging a discriminatory or unfair practice or act in the jurisdictional area of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“Authorization Release Form,” </w:t>
      </w:r>
      <w:r>
        <w:rPr>
          <w:rFonts w:ascii="Times New Roman" w:hAnsi="Times New Roman"/>
          <w:b w:val="false"/>
          <w:i w:val="false"/>
          <w:color w:val="000000"/>
          <w:sz w:val="22"/>
        </w:rPr>
        <w:t>to secure authorization for relevant client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Release Form,” </w:t>
      </w:r>
      <w:r>
        <w:rPr>
          <w:rFonts w:ascii="Times New Roman" w:hAnsi="Times New Roman"/>
          <w:b w:val="false"/>
          <w:i w:val="false"/>
          <w:color w:val="000000"/>
          <w:sz w:val="22"/>
        </w:rPr>
        <w:t>to request a “right to sue”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“Request for Withdrawal of Charge of Discrimination,” </w:t>
      </w:r>
      <w:r>
        <w:rPr>
          <w:rFonts w:ascii="Times New Roman" w:hAnsi="Times New Roman"/>
          <w:b w:val="false"/>
          <w:i w:val="false"/>
          <w:color w:val="000000"/>
          <w:sz w:val="22"/>
        </w:rPr>
        <w:t>is used by the complainant to withdraw the charge of discrimination previously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“Amended complaint,” </w:t>
      </w:r>
      <w:r>
        <w:rPr>
          <w:rFonts w:ascii="Times New Roman" w:hAnsi="Times New Roman"/>
          <w:b w:val="false"/>
          <w:i w:val="false"/>
          <w:color w:val="000000"/>
          <w:sz w:val="22"/>
        </w:rPr>
        <w:t>to amend the charge of discrimination previously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“Forms notebook.” </w:t>
      </w:r>
      <w:r>
        <w:rPr>
          <w:rFonts w:ascii="Times New Roman" w:hAnsi="Times New Roman"/>
          <w:b w:val="false"/>
          <w:i w:val="false"/>
          <w:color w:val="000000"/>
          <w:sz w:val="22"/>
        </w:rPr>
        <w:t>Other forms commonly used by the commission or its staff are compiled within a “forms notebook.” The notebook is available for inspection by the public at the commission offices. Copies of the forms notebook can be obtained for an appropriate copying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w:t>
      </w:r>
      <w:r>
        <w:rPr>
          <w:rFonts w:ascii="Times New Roman" w:hAnsi="Times New Roman"/>
          <w:b w:val="false"/>
          <w:i w:val="false"/>
          <w:color w:val="000000"/>
          <w:sz w:val="22"/>
        </w:rPr>
        <w:t> </w:t>
      </w:r>
      <w:r>
        <w:rPr>
          <w:rFonts w:ascii="Times New Roman" w:hAnsi="Times New Roman"/>
          <w:b w:val="false"/>
          <w:i/>
          <w:color w:val="000000"/>
          <w:sz w:val="22"/>
        </w:rPr>
        <w:t xml:space="preserve">“Purpose of forms.” </w:t>
      </w:r>
      <w:r>
        <w:rPr>
          <w:rFonts w:ascii="Times New Roman" w:hAnsi="Times New Roman"/>
          <w:b w:val="false"/>
          <w:i w:val="false"/>
          <w:color w:val="000000"/>
          <w:sz w:val="22"/>
        </w:rPr>
        <w:t>The existence of standard forms is for the convenience of the commission, the public, and the parties. The existence of a standard form does not imply that the purpose of the standard form cannot be accomplished through a document in a different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161—1.6</w:t>
      </w:r>
      <w:r>
        <w:rPr>
          <w:rFonts w:ascii="Times New Roman" w:hAnsi="Times New Roman"/>
          <w:b/>
          <w:i w:val="false"/>
          <w:color w:val="000000"/>
          <w:sz w:val="22"/>
        </w:rPr>
        <w:t xml:space="preserve">(216) </w:t>
      </w:r>
      <w:r>
        <w:rPr>
          <w:rFonts w:ascii="Times New Roman" w:hAnsi="Times New Roman"/>
          <w:b/>
          <w:i w:val="false"/>
          <w:color w:val="000000"/>
          <w:sz w:val="22"/>
        </w:rPr>
        <w:t xml:space="preserve">Referral and deferral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Statement of purpose. </w:t>
      </w:r>
      <w:r>
        <w:rPr>
          <w:rFonts w:ascii="Times New Roman" w:hAnsi="Times New Roman"/>
          <w:b w:val="false"/>
          <w:i w:val="false"/>
          <w:color w:val="000000"/>
          <w:sz w:val="22"/>
        </w:rPr>
        <w:t>It is the purpose of the commission, in adopting these rules to promote the efficient enforcement of the Act. To this end, the commission will use referral and deferral agreements to encourage agencies with similar powers and jurisdiction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procedures with remedies necessary to ensure the protection of rights secured by the Iowa Civil Rights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Increase the efficiency of their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Cooperate more fully with the commission in the sharing of data and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investigations and conciliations with the commission in order to eliminate needless duplication.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refers to any agency of municipal government established by ordinance for the purpose of eliminating discrimination on any basis protected by the Act or any state or federal governmental unit with jurisdiction over allegations of discrimination that is capable of obtaining remedies similar to those obtainable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means the process by which the commission cross-files a charge of discrimination with a referral agency, which extinguishes the legal ability of the commission to process the charge; provided, however, that the referral agency accepts the referred charge and that the commission has the reciprocal right to accept or reject charges cross-filed by the referral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agency” </w:t>
      </w:r>
      <w:r>
        <w:rPr>
          <w:rFonts w:ascii="Times New Roman" w:hAnsi="Times New Roman"/>
          <w:b w:val="false"/>
          <w:i w:val="false"/>
          <w:color w:val="000000"/>
          <w:sz w:val="22"/>
        </w:rPr>
        <w:t>means any agency of local government that has been awarded that status by contract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“Deferral” </w:t>
      </w:r>
      <w:r>
        <w:rPr>
          <w:rFonts w:ascii="Times New Roman" w:hAnsi="Times New Roman"/>
          <w:b w:val="false"/>
          <w:i w:val="false"/>
          <w:color w:val="000000"/>
          <w:sz w:val="22"/>
        </w:rPr>
        <w:t>refers to the process whereby the commission notifies an agency of local, state, or federal government that a complaint has been filed with the commission and that the commission will postpone its investigative activities for a period of 60 days while the deferral agency investigates and attempts to resolve the matter. Extensions of this time period may be granted by the commission or the executive director when just cause is shown by the agency for the time extension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“Deferral agency” </w:t>
      </w:r>
      <w:r>
        <w:rPr>
          <w:rFonts w:ascii="Times New Roman" w:hAnsi="Times New Roman"/>
          <w:b w:val="false"/>
          <w:i w:val="false"/>
          <w:color w:val="000000"/>
          <w:sz w:val="22"/>
        </w:rPr>
        <w:t>means any agency so designated by contract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Procedure for obtaining referral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Guidelines for designation. </w:t>
      </w:r>
      <w:r>
        <w:rPr>
          <w:rFonts w:ascii="Times New Roman" w:hAnsi="Times New Roman"/>
          <w:b w:val="false"/>
          <w:i w:val="false"/>
          <w:color w:val="000000"/>
          <w:sz w:val="22"/>
        </w:rPr>
        <w:t>The executive director will evaluate the applications of agencies and may designate agencies as referral agencies where they conform to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should have professional staff to enable it to comprehensively investigate complaints and to ensure the processing of the charges expeditiously.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ordinance or enabling legislation under which the agency is established must provide at a minimum the same rights and remedies to discrimination as available under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enabling legislation of the agency shall provide, at a minimum, that the agency may hold public hearings, issue cease and desist orders, and award damages to injured parties which shall include, but are not limited to, actual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agency desiring to be designated as a referral agency by the commission may send a letter of application to the executive director of the commission. Attached to the application must be a copy of the agency’s enabling ordinance, a list of its investigatory personnel, the average number of hours worked by each per week, and a report for the previous 12-month period detailing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cases filed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probable cause and no probable cause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cases successfully conciliated,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cases taken to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average length of time spent investigating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cumulative remedies obtained for the previous 12-month period and average remedy obtained per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assessment of the quality of the agency’s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agency’s standards to preserve quality investigations,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status of the agency’s caseload.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Rejection of application. </w:t>
      </w:r>
      <w:r>
        <w:rPr>
          <w:rFonts w:ascii="Times New Roman" w:hAnsi="Times New Roman"/>
          <w:b w:val="false"/>
          <w:i w:val="false"/>
          <w:color w:val="000000"/>
          <w:sz w:val="22"/>
        </w:rPr>
        <w:t>Where the executive director determines that an agency does not qualify as a referral agency, the director shall so inform the agency in writing along with the reasons for the agency’s rejection.</w:t>
      </w:r>
    </w:p>
    <w:p>
      <w:pPr>
        <w:spacing w:before="0" w:after="0"/>
        <w:ind w:left="120"/>
        <w:jc w:val="both"/>
      </w:pPr>
      <w:r>
        <w:rPr>
          <w:rFonts w:ascii="Times New Roman" w:hAnsi="Times New Roman"/>
          <w:b w:val="false"/>
          <w:i w:val="false"/>
          <w:color w:val="000000"/>
          <w:sz w:val="22"/>
        </w:rPr>
        <w:t>If the reasons for the agency’s rejection are corrected, the agency will then be designated as a referral agency. The executive director’s decision may be appealed to the commission at its subsequent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contract. </w:t>
      </w:r>
      <w:r>
        <w:rPr>
          <w:rFonts w:ascii="Times New Roman" w:hAnsi="Times New Roman"/>
          <w:b w:val="false"/>
          <w:i w:val="false"/>
          <w:color w:val="000000"/>
          <w:sz w:val="22"/>
        </w:rPr>
        <w:t>Where the executive director determines that an agency is qualified as a referral agency, the director will prepare a contract between the commission and the agency containing the terms on which cases will be referred. Upon execution of the contract, the executive director will designate the agency as a referral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Terms of the referral contract. </w:t>
      </w:r>
      <w:r>
        <w:rPr>
          <w:rFonts w:ascii="Times New Roman" w:hAnsi="Times New Roman"/>
          <w:b w:val="false"/>
          <w:i w:val="false"/>
          <w:color w:val="000000"/>
          <w:sz w:val="22"/>
        </w:rPr>
        <w:t>The referral contract shall be negotiated with the referral agency, but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Terms prohibiting a complainant who has filed with the commission from cross-filing with a referral agency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Terms permitting the commission to refer complaints filed with it to a referral agency for processing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Terms prohibiting the commission from processing a charge referred to and accepted by the referral agency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Terms permitting the commission or a referral agency to reject a charge referred to it for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Terms ending the contract after two years, subject to renegotiation,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terms mutually agreed upon.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Procedure for obtaining deferral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agency desiring to be designated as a deferral agency by the commission may send a letter of application to the executive director of the commission. Attached to the application must be a copy of the agency’s enabling legislation or grant of jurisdiction, a list of its personnel and statement indicating their permanent or part-time status, their functions, and a summary of the agency’s prior efforts at preventing and eliminating discrimination. The application must also explain how the agency is capable of obtaining remedies substantially similar to those available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Guidelines for designation. </w:t>
      </w:r>
      <w:r>
        <w:rPr>
          <w:rFonts w:ascii="Times New Roman" w:hAnsi="Times New Roman"/>
          <w:b w:val="false"/>
          <w:i w:val="false"/>
          <w:color w:val="000000"/>
          <w:sz w:val="22"/>
        </w:rPr>
        <w:t>The executive director will evaluate the applications of all agencies and may designate deferral agencies where the agencies conform to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should have available resources to enable it to investigate complaints to ensure processing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agency’s enabling legislation or grant of jurisdiction must permit it to obtain substantially the same remedies as are available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must be able to make a diligent effort to investigate and resolve the complaints filed with 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agency is capable of obtaining remedies substantially similar to those available under the Act by informal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Rejection of application. </w:t>
      </w:r>
      <w:r>
        <w:rPr>
          <w:rFonts w:ascii="Times New Roman" w:hAnsi="Times New Roman"/>
          <w:b w:val="false"/>
          <w:i w:val="false"/>
          <w:color w:val="000000"/>
          <w:sz w:val="22"/>
        </w:rPr>
        <w:t>Where the executive director determines that an agency does not qualify as a deferral agency, the director shall so inform the agency in writing along with the reasons for the agency’s rejection.</w:t>
      </w:r>
    </w:p>
    <w:p>
      <w:pPr>
        <w:spacing w:before="0" w:after="0"/>
        <w:ind w:left="120"/>
        <w:jc w:val="both"/>
      </w:pPr>
      <w:r>
        <w:rPr>
          <w:rFonts w:ascii="Times New Roman" w:hAnsi="Times New Roman"/>
          <w:b w:val="false"/>
          <w:i w:val="false"/>
          <w:color w:val="000000"/>
          <w:sz w:val="22"/>
        </w:rPr>
        <w:t>If the reasons for the agency’s rejection are corrected, the agency will then be designated as a deferral agency. The executive director’s decision may be appealed to the commission at its subsequent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contract. </w:t>
      </w:r>
      <w:r>
        <w:rPr>
          <w:rFonts w:ascii="Times New Roman" w:hAnsi="Times New Roman"/>
          <w:b w:val="false"/>
          <w:i w:val="false"/>
          <w:color w:val="000000"/>
          <w:sz w:val="22"/>
        </w:rPr>
        <w:t>Where the executive director determines that an agency is qualified as a deferral agency, the director will prepare a contract between the commission and the agency containing the terms on which cases will be deferred. After execution of the contract, the executive director will designate the agency as a deferral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Terms of the deferral contract. </w:t>
      </w:r>
      <w:r>
        <w:rPr>
          <w:rFonts w:ascii="Times New Roman" w:hAnsi="Times New Roman"/>
          <w:b w:val="false"/>
          <w:i w:val="false"/>
          <w:color w:val="000000"/>
          <w:sz w:val="22"/>
        </w:rPr>
        <w:t>The deferral contract shall include, subject to negotiations with the agency,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will agree to notify the deferral agency of all complaints filed with the commission which are within the deferral agency’s jurisdiction, except where a complainant requests in written form that the deferral agency not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deferral agency will agree to aid all complainants whose complaints come within the commission’s jurisdiction in completing the commission’s complaint forms as well as notarizing them and forwarding the fully executed forms to the commission where the necessity to file a formal complaint exists. If, however, a matter may be resolved informally more expeditiously the deferral agency will simply notify the commission by letter of the complaint and resolution obtained. “Informally resolved complaints” shall refer to complaints that can be resolved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will agree to postpone its investigation for at least 60 days of any complaint filed with a deferral agency unless otherwise agreed to by both parties. These waiver agreements will be made on an individual 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agency will agree not to disclose the filing of a complaint or confidential information pertaining to a complaint until the complaint has been officially set for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commission and the deferral agency shall share copies of all findings, case summaries, and conciliation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Where a complaint is on file with a deferral agency, the commission will allow the deferral agency access to the contents of the complainant’s file provided that the deferral agency allows the commission like privileges and has not previously disclosed confidential information prior to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Photocopying of materials from commission files for use by a deferral agency is solely at the discretion of the commission staff, but will not be unreasonably denied. When the commission copies from the agency’s file, the agency shall be reasonably compensated for copying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commission will give substantial weight to the findings of a deferral agency where pertinent and relevant factual evidence exists to support those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commission will not necessarily be bound by the agency’s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Where a deferral agency reaches a finding of probable cause to support an allegation of discrimination the contract may permit the agency to pursue conciliation, or to refer the case back to the commission for conciliation. The contract may also permit an agency that has attempted conciliation to refer that case back to the commission for public hearing. In no case where a case has been referred back to the commission will it be referred back to the agency. Where a case is conciliated or a hearing is held by the agency or the commission, both will be bound by the final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period for which the contract will be in effect shall not exceed two years, subject to renegotiation.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contract may contain other terms agreed to by the parties.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9/29/75, Notice 7/28/75—published 10/6/75, effective 11/10/75]</w:t>
      </w:r>
    </w:p>
    <w:p>
      <w:pPr>
        <w:spacing w:before="0" w:after="0"/>
        <w:ind w:left="120"/>
        <w:jc w:val="center"/>
      </w:pPr>
      <w:r>
        <w:rPr>
          <w:rFonts w:ascii="Times New Roman" w:hAnsi="Times New Roman"/>
          <w:b w:val="false"/>
          <w:i w:val="false"/>
          <w:color w:val="000000"/>
          <w:sz w:val="21"/>
        </w:rPr>
        <w:t>[Filed 2/20/78, Notices 12/14/77, 1/11/78—published 3/22/78, effective 4/26/78]</w:t>
      </w:r>
    </w:p>
    <w:p>
      <w:pPr>
        <w:spacing w:before="0" w:after="0"/>
        <w:ind w:left="120"/>
        <w:jc w:val="center"/>
      </w:pPr>
      <w:r>
        <w:rPr>
          <w:rFonts w:ascii="Times New Roman" w:hAnsi="Times New Roman"/>
          <w:b w:val="false"/>
          <w:i w:val="false"/>
          <w:color w:val="000000"/>
          <w:sz w:val="21"/>
        </w:rPr>
        <w:t>[Filed emergency 11/20/78—published 12/13/78, effective 1/1/79]</w:t>
      </w:r>
    </w:p>
    <w:p>
      <w:pPr>
        <w:spacing w:before="0" w:after="0"/>
        <w:ind w:left="120"/>
        <w:jc w:val="center"/>
      </w:pPr>
      <w:r>
        <w:rPr>
          <w:rFonts w:ascii="Times New Roman" w:hAnsi="Times New Roman"/>
          <w:b w:val="false"/>
          <w:i w:val="false"/>
          <w:color w:val="000000"/>
          <w:sz w:val="21"/>
        </w:rPr>
        <w:t>[Filed 4/4/80, Notice 9/5/79—published 4/30/80, effective 6/4/80]</w:t>
      </w:r>
    </w:p>
    <w:p>
      <w:pPr>
        <w:spacing w:before="0" w:after="0"/>
        <w:ind w:left="120"/>
        <w:jc w:val="center"/>
      </w:pPr>
      <w:r>
        <w:rPr>
          <w:rFonts w:ascii="Times New Roman" w:hAnsi="Times New Roman"/>
          <w:b w:val="false"/>
          <w:i w:val="false"/>
          <w:color w:val="000000"/>
          <w:sz w:val="21"/>
        </w:rPr>
        <w:t>[Filed 4/30/84, Notice 2/29/84—published 5/23/84, effective 6/27/84]</w:t>
      </w:r>
    </w:p>
    <w:p>
      <w:pPr>
        <w:spacing w:before="0" w:after="0"/>
        <w:ind w:left="120"/>
        <w:jc w:val="center"/>
      </w:pPr>
      <w:r>
        <w:rPr>
          <w:rFonts w:ascii="Times New Roman" w:hAnsi="Times New Roman"/>
          <w:b w:val="false"/>
          <w:i w:val="false"/>
          <w:color w:val="000000"/>
          <w:sz w:val="21"/>
        </w:rPr>
        <w:t>[Filed 12/15/87, Notice 8/12/87—published 1/13/88, effective 2/17/88]</w:t>
      </w:r>
    </w:p>
    <w:p>
      <w:pPr>
        <w:spacing w:before="0" w:after="0"/>
        <w:ind w:left="120"/>
        <w:jc w:val="center"/>
      </w:pPr>
      <w:r>
        <w:rPr>
          <w:rFonts w:ascii="Times New Roman" w:hAnsi="Times New Roman"/>
          <w:b w:val="false"/>
          <w:i w:val="false"/>
          <w:color w:val="000000"/>
          <w:sz w:val="21"/>
        </w:rPr>
        <w:t>[Filed 1/29/93, Notice 11/25/92—published 2/17/93, effective 3/24/93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9/21/94, Notice 7/20/94—published 10/12/94, effective 11/16/94]</w:t>
      </w:r>
    </w:p>
    <w:p>
      <w:pPr>
        <w:spacing w:before="0" w:after="0"/>
        <w:ind w:left="120"/>
        <w:jc w:val="center"/>
      </w:pPr>
      <w:r>
        <w:rPr>
          <w:rFonts w:ascii="Times New Roman" w:hAnsi="Times New Roman"/>
          <w:b w:val="false"/>
          <w:i w:val="false"/>
          <w:color w:val="000000"/>
          <w:sz w:val="21"/>
        </w:rPr>
        <w:t>[Filed 4/28/99, Notice 3/24/99—published 5/19/99, effective 6/23/99]</w:t>
      </w:r>
    </w:p>
    <w:p>
      <w:pPr>
        <w:spacing w:before="0" w:after="0"/>
        <w:ind w:left="120"/>
        <w:jc w:val="center"/>
      </w:pPr>
      <w:r>
        <w:rPr>
          <w:rFonts w:ascii="Times New Roman" w:hAnsi="Times New Roman"/>
          <w:b w:val="false"/>
          <w:i w:val="false"/>
          <w:color w:val="000000"/>
          <w:sz w:val="21"/>
        </w:rPr>
        <w:t>[Filed 5/8/03, Notice 12/11/02—published 5/28/03, effective 7/2/03]</w:t>
      </w:r>
    </w:p>
    <w:p>
      <w:pPr>
        <w:spacing w:before="0" w:after="0"/>
        <w:ind w:left="120"/>
        <w:jc w:val="center"/>
      </w:pPr>
      <w:r>
        <w:rPr>
          <w:rFonts w:ascii="Times New Roman" w:hAnsi="Times New Roman"/>
          <w:b w:val="false"/>
          <w:i w:val="false"/>
          <w:color w:val="000000"/>
          <w:sz w:val="21"/>
        </w:rPr>
        <w:t>[Filed ARC 8749B</w:t>
      </w:r>
      <w:r>
        <w:rPr>
          <w:rFonts w:ascii="Times New Roman" w:hAnsi="Times New Roman"/>
          <w:b w:val="false"/>
          <w:i w:val="false"/>
          <w:color w:val="000000"/>
          <w:sz w:val="21"/>
        </w:rPr>
        <w:t xml:space="preserve"> (Notice ARC 8578B, IAB 3/10/10)</w:t>
      </w:r>
      <w:r>
        <w:rPr>
          <w:rFonts w:ascii="Times New Roman" w:hAnsi="Times New Roman"/>
          <w:b w:val="false"/>
          <w:i w:val="false"/>
          <w:color w:val="000000"/>
          <w:sz w:val="21"/>
        </w:rPr>
        <w:t>, IAB 5/5/10, effective 6/9/10]</w:t>
      </w:r>
    </w:p>
    <w:p>
      <w:pPr>
        <w:pBdr>
          <w:bottom w:space="2"/>
        </w:pBdr>
        <w:spacing w:before="0" w:after="0"/>
        <w:ind w:left="120"/>
        <w:jc w:val="both"/>
      </w:pPr>
      <w:r>
        <w:rPr>
          <w:rFonts w:ascii="Times New Roman" w:hAnsi="Times New Roman"/>
          <w:b w:val="false"/>
          <w:i w:val="false"/>
          <w:color w:val="000000"/>
          <w:sz w:val="22"/>
        </w:rPr>
        <w:t>Effective date of 161—1.1(1)</w:t>
      </w:r>
      <w:r>
        <w:rPr>
          <w:rFonts w:ascii="Times New Roman" w:hAnsi="Times New Roman"/>
          <w:b w:val="false"/>
          <w:i/>
          <w:color w:val="000000"/>
          <w:sz w:val="22"/>
        </w:rPr>
        <w:t>“b,”</w:t>
      </w:r>
      <w:r>
        <w:rPr>
          <w:rFonts w:ascii="Times New Roman" w:hAnsi="Times New Roman"/>
          <w:b w:val="false"/>
          <w:i w:val="false"/>
          <w:color w:val="000000"/>
          <w:sz w:val="22"/>
        </w:rPr>
        <w:t xml:space="preserve"> 1.5(7) and 1.5(8) delayed 70 days by the Administrative Rules Review Committee at its meeting held March 9, 1993; delayed until adjournment of the 1994 Session of the General Assembly by this Committee May 11,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3.pdf" Type="http://schemas.openxmlformats.org/officeDocument/2006/relationships/hyperlink" Id="rId5"/>
    <Relationship TargetMode="External" Target="https://www.legis.iowa.gov/docs/iac/rule/161.1.1.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ac/rule/161.1.1.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ac/rule/161.1.2.pdf" Type="http://schemas.openxmlformats.org/officeDocument/2006/relationships/hyperlink" Id="rId12"/>
    <Relationship TargetMode="External" Target="https://www.legis.iowa.gov/docs/iac/rule/161.1.1.pdf" Type="http://schemas.openxmlformats.org/officeDocument/2006/relationships/hyperlink" Id="rId13"/>
    <Relationship TargetMode="External" Target="https://www.legis.iowa.gov/docs/ico/chapter/17A.4.pdf" Type="http://schemas.openxmlformats.org/officeDocument/2006/relationships/hyperlink" Id="rId14"/>
    <Relationship TargetMode="External" Target="https://www.legis.iowa.gov/docs/ico/chapter/25B.6.pdf" Type="http://schemas.openxmlformats.org/officeDocument/2006/relationships/hyperlink" Id="rId15"/>
    <Relationship TargetMode="External" Target="https://www.legis.iowa.gov/docs/iac/rule/161.1.1.pdf" Type="http://schemas.openxmlformats.org/officeDocument/2006/relationships/hyperlink" Id="rId16"/>
    <Relationship TargetMode="External" Target="https://www.legis.iowa.gov/docs/ico/chapter/17A.4.pdf" Type="http://schemas.openxmlformats.org/officeDocument/2006/relationships/hyperlink" Id="rId17"/>
    <Relationship TargetMode="External" Target="https://www.legis.iowa.gov/docs/ico/chapter/17A.4.pdf" Type="http://schemas.openxmlformats.org/officeDocument/2006/relationships/hyperlink" Id="rId18"/>
    <Relationship TargetMode="External" Target="https://www.legis.iowa.gov/docs/ico/chapter/17A.5.pdf" Type="http://schemas.openxmlformats.org/officeDocument/2006/relationships/hyperlink" Id="rId19"/>
    <Relationship TargetMode="External" Target="https://www.legis.iowa.gov/docs/ico/chapter/17A.5.pdf" Type="http://schemas.openxmlformats.org/officeDocument/2006/relationships/hyperlink" Id="rId20"/>
    <Relationship TargetMode="External" Target="https://www.legis.iowa.gov/docs/iac/rule/161.1.2.pdf" Type="http://schemas.openxmlformats.org/officeDocument/2006/relationships/hyperlink" Id="rId21"/>
    <Relationship TargetMode="External" Target="https://www.legis.iowa.gov/docs/ico/chapter/17A.4.pdf" Type="http://schemas.openxmlformats.org/officeDocument/2006/relationships/hyperlink" Id="rId22"/>
    <Relationship TargetMode="External" Target="https://www.legis.iowa.gov/docs/ico/chapter/17A.4.pdf" Type="http://schemas.openxmlformats.org/officeDocument/2006/relationships/hyperlink" Id="rId23"/>
    <Relationship TargetMode="External" Target="https://www.legis.iowa.gov/docs/iac/rule/161.1.1.pdf" Type="http://schemas.openxmlformats.org/officeDocument/2006/relationships/hyperlink" Id="rId24"/>
    <Relationship TargetMode="External" Target="https://www.legis.iowa.gov/docs/iac/rule/161.1.4.pdf" Type="http://schemas.openxmlformats.org/officeDocument/2006/relationships/hyperlink" Id="rId25"/>
    <Relationship TargetMode="External" Target="https://www.legis.iowa.gov/docs/iac/rule/161.1.4.pdf" Type="http://schemas.openxmlformats.org/officeDocument/2006/relationships/hyperlink" Id="rId26"/>
    <Relationship TargetMode="External" Target="https://www.legis.iowa.gov/docs/iac/rule/161.1.1.pdf" Type="http://schemas.openxmlformats.org/officeDocument/2006/relationships/hyperlink" Id="rId27"/>
    <Relationship TargetMode="External" Target="https://www.legis.iowa.gov/docs/iac/rule/161.3.5.pdf" Type="http://schemas.openxmlformats.org/officeDocument/2006/relationships/hyperlink" Id="rId28"/>
    <Relationship TargetMode="External" Target="https://www.legis.iowa.gov/docs/ico/chapter/216.17.pdf" Type="http://schemas.openxmlformats.org/officeDocument/2006/relationships/hyperlink" Id="rId29"/>
    <Relationship TargetMode="External" Target="https://www.legis.iowa.gov/docs/ico/chapter/216.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