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WAIVERS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129—7.1</w:t>
      </w:r>
      <w:r>
        <w:rPr>
          <w:rFonts w:ascii="Times New Roman" w:hAnsi="Times New Roman"/>
          <w:b/>
          <w:i w:val="false"/>
          <w:color w:val="000000"/>
          <w:sz w:val="22"/>
        </w:rPr>
        <w:t xml:space="preserve">(8B,17A)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 xml:space="preserve"> shall apply to this chapter. In addition, for purposes of this chapter, the following definitions shall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information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“CIO” </w:t>
      </w:r>
      <w:r>
        <w:rPr>
          <w:rFonts w:ascii="Times New Roman" w:hAnsi="Times New Roman"/>
          <w:b w:val="false"/>
          <w:i w:val="false"/>
          <w:color w:val="000000"/>
          <w:sz w:val="22"/>
        </w:rPr>
        <w:t>means the state chief information officer or the CIO’s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selection documents”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129—10.2</w:t>
        </w:r>
      </w:hyperlink>
      <w:r>
        <w:rPr>
          <w:rFonts w:ascii="Times New Roman" w:hAnsi="Times New Roman"/>
          <w:b w:val="false"/>
          <w:i w:val="false"/>
          <w:color w:val="000000"/>
          <w:sz w:val="22"/>
        </w:rPr>
        <w:t>(8B).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waiver”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129—8.1</w:t>
        </w:r>
      </w:hyperlink>
      <w:r>
        <w:rPr>
          <w:rFonts w:ascii="Times New Roman" w:hAnsi="Times New Roman"/>
          <w:b w:val="false"/>
          <w:i w:val="false"/>
          <w:color w:val="000000"/>
          <w:sz w:val="22"/>
        </w:rPr>
        <w:t>(8B).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“OCIO” </w:t>
      </w:r>
      <w:r>
        <w:rPr>
          <w:rFonts w:ascii="Times New Roman" w:hAnsi="Times New Roman"/>
          <w:b w:val="false"/>
          <w:i w:val="false"/>
          <w:color w:val="000000"/>
          <w:sz w:val="22"/>
        </w:rPr>
        <w:t xml:space="preserve">means the office of the chief information officer authorized by Iowa Code chapter </w:t>
      </w:r>
      <w:hyperlink r:id="rId8">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agency, business trust, estate, trust, partnership or association, vendor,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or variance” </w:t>
      </w:r>
      <w:r>
        <w:rPr>
          <w:rFonts w:ascii="Times New Roman" w:hAnsi="Times New Roman"/>
          <w:b w:val="false"/>
          <w:i w:val="false"/>
          <w:color w:val="000000"/>
          <w:sz w:val="22"/>
        </w:rPr>
        <w:t>means, as applied to an identified person on the basis of the particular circumstances of that person, any action by the office that suspends in whole or in part the requirements or provisions of a rule of the office. For simplicity, the term “waiver” shall include both a “waiver” and a “variance.”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left"/>
      </w:pPr>
    </w:p>
    <w:p>
      <w:pPr>
        <w:spacing w:before="0" w:after="0"/>
        <w:ind w:left="120"/>
        <w:jc w:val="both"/>
      </w:pPr>
      <w:r>
        <w:rPr>
          <w:rFonts w:ascii="Times New Roman" w:hAnsi="Times New Roman"/>
          <w:b/>
          <w:i w:val="false"/>
          <w:color w:val="000000"/>
          <w:sz w:val="22"/>
        </w:rPr>
        <w:t>129—7.2</w:t>
      </w:r>
      <w:r>
        <w:rPr>
          <w:rFonts w:ascii="Times New Roman" w:hAnsi="Times New Roman"/>
          <w:b/>
          <w:i w:val="false"/>
          <w:color w:val="000000"/>
          <w:sz w:val="22"/>
        </w:rPr>
        <w:t xml:space="preserve">(8B,17A) </w:t>
      </w:r>
      <w:r>
        <w:rPr>
          <w:rFonts w:ascii="Times New Roman" w:hAnsi="Times New Roman"/>
          <w:b/>
          <w:i w:val="false"/>
          <w:color w:val="000000"/>
          <w:sz w:val="22"/>
        </w:rPr>
        <w:t xml:space="preserve">Scope of chapter and applicability. </w:t>
      </w:r>
      <w:r>
        <w:rPr>
          <w:rFonts w:ascii="Times New Roman" w:hAnsi="Times New Roman"/>
          <w:b w:val="false"/>
          <w:i w:val="false"/>
          <w:color w:val="000000"/>
          <w:sz w:val="22"/>
        </w:rPr>
        <w:t>This chapter outlines generally applicable standards and a uniform process for the granting of individual waivers from rules adopted by the office in situations where no other more specifically applicable law provides for waivers. Generally, the office may grant a waiver from a rule only if the office has jurisdiction over the rule from which a waiver is requested or has final decision-making authority over a contested case in which a waiver is requested and the requested waiver is consistent with applicable statutes, constitutional provisions, or other provisions of law. Except to the extent authorized and not otherwise prohibited by applicable law, the office may not waive requirements created or duties imposed by statute. Any waiver must be consistent with statute.</w:t>
      </w:r>
    </w:p>
    <w:p>
      <w:pPr>
        <w:spacing w:before="0" w:after="0"/>
        <w:ind w:left="120"/>
        <w:jc w:val="both"/>
      </w:pPr>
      <w:r>
        <w:rPr>
          <w:rFonts w:ascii="Times New Roman" w:hAnsi="Times New Roman"/>
          <w:b w:val="false"/>
          <w:i w:val="false"/>
          <w:color w:val="000000"/>
          <w:sz w:val="22"/>
        </w:rPr>
        <w:t>Notwithstanding the foregoing, to the extent another more specific provision of law governs the issuance of a waiver from a particular rule, the more specific provision shall supersede this chapter with respect to any waiver from that rule. For example: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8B.21(5)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129—Chapter 8</w:t>
        </w:r>
      </w:hyperlink>
      <w:r>
        <w:rPr>
          <w:rFonts w:ascii="Times New Roman" w:hAnsi="Times New Roman"/>
          <w:b w:val="false"/>
          <w:i w:val="false"/>
          <w:color w:val="000000"/>
          <w:sz w:val="22"/>
        </w:rPr>
        <w:t xml:space="preserve"> govern information technology waivers requested by a participating agency from the requirements of Iowa Code chapter </w:t>
      </w:r>
      <w:hyperlink r:id="rId11">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rules adopted by the office, and information technology standards and policies prescribed by the office concerning the acquisition, utilization, or provision of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Additionally, this chapter does not govern the waiver of the stated terms, conditions, or requirements in a procurement of information technology. The standards and processes for the granting of waivers from the stated terms, conditions, or requirements in a procurement of information technology shall be as stated in the competitive selection documents or other applicable solicitation documents initiating the procurement.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129—7.3</w:t>
      </w:r>
      <w:r>
        <w:rPr>
          <w:rFonts w:ascii="Times New Roman" w:hAnsi="Times New Roman"/>
          <w:b/>
          <w:i w:val="false"/>
          <w:color w:val="000000"/>
          <w:sz w:val="22"/>
        </w:rPr>
        <w:t xml:space="preserve">(8B,17A) </w:t>
      </w:r>
      <w:r>
        <w:rPr>
          <w:rFonts w:ascii="Times New Roman" w:hAnsi="Times New Roman"/>
          <w:b/>
          <w:i w:val="false"/>
          <w:color w:val="000000"/>
          <w:sz w:val="22"/>
        </w:rPr>
        <w:t xml:space="preserve">Granting a waiver. </w:t>
      </w:r>
      <w:r>
        <w:rPr>
          <w:rFonts w:ascii="Times New Roman" w:hAnsi="Times New Roman"/>
          <w:b w:val="false"/>
          <w:i w:val="false"/>
          <w:color w:val="000000"/>
          <w:sz w:val="22"/>
        </w:rPr>
        <w:t xml:space="preserve">In response to a petition completed pursuant to rule </w:t>
      </w:r>
      <w:hyperlink r:id="rId12">
        <w:r>
          <w:rPr>
            <w:rStyle w:val="Hyperlink"/>
            <w:rFonts w:ascii="Times New Roman" w:hAnsi="Times New Roman"/>
            <w:b w:val="false"/>
            <w:i w:val="false"/>
            <w:color w:val="000000"/>
            <w:sz w:val="22"/>
          </w:rPr>
          <w:t>129—7.5</w:t>
        </w:r>
      </w:hyperlink>
      <w:r>
        <w:rPr>
          <w:rFonts w:ascii="Times New Roman" w:hAnsi="Times New Roman"/>
          <w:b w:val="false"/>
          <w:i w:val="false"/>
          <w:color w:val="000000"/>
          <w:sz w:val="22"/>
        </w:rPr>
        <w:t xml:space="preserve">(8B,17A), the CIO may, in the CIO’s sole discretion, issue an order waiving, in whole or in part, the requirements of a rule pursuant to </w:t>
      </w:r>
      <w:hyperlink r:id="rId13">
        <w:r>
          <w:rPr>
            <w:rStyle w:val="Hyperlink"/>
            <w:rFonts w:ascii="Times New Roman" w:hAnsi="Times New Roman"/>
            <w:b w:val="false"/>
            <w:i w:val="false"/>
            <w:color w:val="000000"/>
            <w:sz w:val="22"/>
          </w:rPr>
          <w:t>subrule 7.3(1)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CIO may grant a waiver if the CIO finds, based on clear and convincing evidence,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Equal protection of public health, safety, and welfare and information security will be substantially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 waiver should be granted, the CIO shall consider the public interest, policies, and legislative intent of the statute on which the rule is based. When the rule from which a waiver is sought establishes administrative deadlines, the CIO shall balance the special individual circumstances of the petitioner with the overall goal of uniform treatment of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Special waivers not precluded. </w:t>
      </w:r>
      <w:r>
        <w:rPr>
          <w:rFonts w:ascii="Times New Roman" w:hAnsi="Times New Roman"/>
          <w:b w:val="false"/>
          <w:i w:val="false"/>
          <w:color w:val="000000"/>
          <w:sz w:val="22"/>
        </w:rPr>
        <w:t>These rules shall not preclude the CIO from granting waivers in other contexts or on the basis of other statutes, rules, standards, policies, or procedures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CIO deems it appropriate to do so;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CIO is not prohibited by state or federal statute, federal regulations, this rule, or any other rule adopted under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from issuing such waivers.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129—7.4</w:t>
      </w:r>
      <w:r>
        <w:rPr>
          <w:rFonts w:ascii="Times New Roman" w:hAnsi="Times New Roman"/>
          <w:b/>
          <w:i w:val="false"/>
          <w:color w:val="000000"/>
          <w:sz w:val="22"/>
        </w:rPr>
        <w:t xml:space="preserve">(8B,17A)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Any person may file with the office a petition requesting a waiver, in whole or in part, of a rule of the office on the ground that the application of the rule to the particular circumstances of that person would qualify for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petition for a waiver must be submitted in writing to the office of the chief information officer at the office’s primary headquarters at the address identified in rule </w:t>
      </w:r>
      <w:hyperlink r:id="rId15">
        <w:r>
          <w:rPr>
            <w:rStyle w:val="Hyperlink"/>
            <w:rFonts w:ascii="Times New Roman" w:hAnsi="Times New Roman"/>
            <w:b w:val="false"/>
            <w:i w:val="false"/>
            <w:color w:val="000000"/>
            <w:sz w:val="22"/>
          </w:rPr>
          <w:t>129—1.2</w:t>
        </w:r>
      </w:hyperlink>
      <w:r>
        <w:rPr>
          <w:rFonts w:ascii="Times New Roman" w:hAnsi="Times New Roman"/>
          <w:b w:val="false"/>
          <w:i w:val="false"/>
          <w:color w:val="000000"/>
          <w:sz w:val="22"/>
        </w:rPr>
        <w:t>(8B,17A).  Requests for waiver may be delivered, mailed, or sent by electronic means reasonably calculated to reach the intended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Special requirement for contested cases or appeals. </w:t>
      </w:r>
      <w:r>
        <w:rPr>
          <w:rFonts w:ascii="Times New Roman" w:hAnsi="Times New Roman"/>
          <w:b w:val="false"/>
          <w:i w:val="false"/>
          <w:color w:val="000000"/>
          <w:sz w:val="22"/>
        </w:rPr>
        <w:t xml:space="preserve">If the petition relates to a pending appeal or contested case, the petition shall use the caption of the appeal or contested case, and in addition to being submitted to the office as required by </w:t>
      </w:r>
      <w:hyperlink r:id="rId16">
        <w:r>
          <w:rPr>
            <w:rStyle w:val="Hyperlink"/>
            <w:rFonts w:ascii="Times New Roman" w:hAnsi="Times New Roman"/>
            <w:b w:val="false"/>
            <w:i w:val="false"/>
            <w:color w:val="000000"/>
            <w:sz w:val="22"/>
          </w:rPr>
          <w:t>subrule 7.4(1)</w:t>
        </w:r>
      </w:hyperlink>
      <w:r>
        <w:rPr>
          <w:rFonts w:ascii="Times New Roman" w:hAnsi="Times New Roman"/>
          <w:b w:val="false"/>
          <w:i w:val="false"/>
          <w:color w:val="000000"/>
          <w:sz w:val="22"/>
        </w:rPr>
        <w:t>, a copy shall also be filed in the appeal or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129—7.5</w:t>
      </w:r>
      <w:r>
        <w:rPr>
          <w:rFonts w:ascii="Times New Roman" w:hAnsi="Times New Roman"/>
          <w:b/>
          <w:i w:val="false"/>
          <w:color w:val="000000"/>
          <w:sz w:val="22"/>
        </w:rPr>
        <w:t xml:space="preserve">(8B,17A)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person for whom a waiver is requested and the case number of any related pending appeal or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and citation to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 and any alternative means or other condition or modification proposed to achieve the purposes of the applicable rule.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the petitioner believes would justify a waiver under each of the four criteria described in </w:t>
      </w:r>
      <w:hyperlink r:id="rId17">
        <w:r>
          <w:rPr>
            <w:rStyle w:val="Hyperlink"/>
            <w:rFonts w:ascii="Times New Roman" w:hAnsi="Times New Roman"/>
            <w:b w:val="false"/>
            <w:i w:val="false"/>
            <w:color w:val="000000"/>
            <w:sz w:val="22"/>
          </w:rPr>
          <w:t>subrule 7.3(1)</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the relevant facts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office and the petitioner relating to the activity that is the subject of the requested waiver, including but not limited to a list or description of prior notices, investigative reports, advice, negotiations, consultations or conferences, a description of contested case hearings relating to the activity within the past five years, and penalties relating to the proposed waiver.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office’s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authorizing persons with knowledge regarding the request to furnish the office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129—7.6</w:t>
      </w:r>
      <w:r>
        <w:rPr>
          <w:rFonts w:ascii="Times New Roman" w:hAnsi="Times New Roman"/>
          <w:b/>
          <w:i w:val="false"/>
          <w:color w:val="000000"/>
          <w:sz w:val="22"/>
        </w:rPr>
        <w:t xml:space="preserve">(8B,17A)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office may request additional information from the petitioner relative to the petition and surrounding circumstances. If the petition was not filed in conjunction with a pending contested case or appeal, the office may, on its own motion or at the petitioner’s request, schedule a meeting between the petitioner and the CIO, which may be conducted either in person or by telephonic or other similar electronic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129—7.7</w:t>
      </w:r>
      <w:r>
        <w:rPr>
          <w:rFonts w:ascii="Times New Roman" w:hAnsi="Times New Roman"/>
          <w:b/>
          <w:i w:val="false"/>
          <w:color w:val="000000"/>
          <w:sz w:val="22"/>
        </w:rPr>
        <w:t xml:space="preserve">(8B,17A) </w:t>
      </w:r>
      <w:r>
        <w:rPr>
          <w:rFonts w:ascii="Times New Roman" w:hAnsi="Times New Roman"/>
          <w:b/>
          <w:i w:val="false"/>
          <w:color w:val="000000"/>
          <w:sz w:val="22"/>
        </w:rPr>
        <w:t xml:space="preserve">Notice. </w:t>
      </w:r>
      <w:r>
        <w:rPr>
          <w:rFonts w:ascii="Times New Roman" w:hAnsi="Times New Roman"/>
          <w:b w:val="false"/>
          <w:i w:val="false"/>
          <w:color w:val="000000"/>
          <w:sz w:val="22"/>
        </w:rPr>
        <w:t>The office shall acknowledge the receipt of a petition by means reasonably calculated to reach the petitioner or designee. The office shall ensure that, within 30 days of the receipt of the petition, notice of the pendency of the petition and a concise summary of its contents have been provided to all persons to whom notice is required by any provision of law. In addition, the office may give notice to other persons. To accomplish this notice provision, the office may require the petitioner to serve the notice on all persons to whom notice is required by any provision of law and provide a written statement to the office attesting that notice has been provided. Notice may be provided by email or similar electronic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129—7.8</w:t>
      </w:r>
      <w:r>
        <w:rPr>
          <w:rFonts w:ascii="Times New Roman" w:hAnsi="Times New Roman"/>
          <w:b/>
          <w:i w:val="false"/>
          <w:color w:val="000000"/>
          <w:sz w:val="22"/>
        </w:rPr>
        <w:t xml:space="preserve">(8B,17A)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18">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and the office’s corresponding implementing rules at </w:t>
      </w:r>
      <w:hyperlink r:id="rId19">
        <w:r>
          <w:rPr>
            <w:rStyle w:val="Hyperlink"/>
            <w:rFonts w:ascii="Times New Roman" w:hAnsi="Times New Roman"/>
            <w:b w:val="false"/>
            <w:i w:val="false"/>
            <w:color w:val="000000"/>
            <w:sz w:val="22"/>
          </w:rPr>
          <w:t>129—Chapter 6</w:t>
        </w:r>
      </w:hyperlink>
      <w:r>
        <w:rPr>
          <w:rFonts w:ascii="Times New Roman" w:hAnsi="Times New Roman"/>
          <w:b w:val="false"/>
          <w:i w:val="false"/>
          <w:color w:val="000000"/>
          <w:sz w:val="22"/>
        </w:rPr>
        <w:t xml:space="preserve"> shall apply to any petition for a waiver filed within a contested case and shall otherwise apply to office proceedings for a waiver only when the office so provides by rule or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129—7.9</w:t>
      </w:r>
      <w:r>
        <w:rPr>
          <w:rFonts w:ascii="Times New Roman" w:hAnsi="Times New Roman"/>
          <w:b/>
          <w:i w:val="false"/>
          <w:color w:val="000000"/>
          <w:sz w:val="22"/>
        </w:rPr>
        <w:t xml:space="preserve">(8B,17A)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if a waiver is issued, a description of the precise scope of the waiver including its duration and any conditions associated therewith.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CIO discretion. </w:t>
      </w:r>
      <w:r>
        <w:rPr>
          <w:rFonts w:ascii="Times New Roman" w:hAnsi="Times New Roman"/>
          <w:b w:val="false"/>
          <w:i w:val="false"/>
          <w:color w:val="000000"/>
          <w:sz w:val="22"/>
        </w:rPr>
        <w:t>The final decision on whether the circumstances justify the granting of a waiver shall be made at the sole discretion of the CIO, upon consideration of all relevant factors. Each petition for a waiver shall be evaluated by the CIO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and persuasion. </w:t>
      </w:r>
      <w:r>
        <w:rPr>
          <w:rFonts w:ascii="Times New Roman" w:hAnsi="Times New Roman"/>
          <w:b w:val="false"/>
          <w:i w:val="false"/>
          <w:color w:val="000000"/>
          <w:sz w:val="22"/>
        </w:rPr>
        <w:t>The burden of proof and persuasion rests with the petitioner to demonstrate by clear and convincing evidence that the CIO should exercise discretion to grant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office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CIO may place any condition on a waiver that the CIO finds desirable to protect the public health, safety, and welfare and information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CIO, a waiver may be renewed if the CIO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CIO shall grant or deny a petition for a waiver as soon as practicable but, in any event, shall do so within 120 days of its receipt unless the petitioner agrees to a later date or the department, specifying good cause, extends this time period with respect to a particular petition for an additional 30 days. However, if a petition is filed in a contested case, the CIO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CIO to grant or deny a petition within the required time period shall be deemed a denial of that petition by the CIO. However, the CIO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 Such service may be effectuated by email or similar electronic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129—7.10</w:t>
      </w:r>
      <w:r>
        <w:rPr>
          <w:rFonts w:ascii="Times New Roman" w:hAnsi="Times New Roman"/>
          <w:b/>
          <w:i w:val="false"/>
          <w:color w:val="000000"/>
          <w:sz w:val="22"/>
        </w:rPr>
        <w:t xml:space="preserve">(8B,17A,22)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2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2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office is authorized or required to keep confidential. The office may accordingly redact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129—7.11</w:t>
      </w:r>
      <w:r>
        <w:rPr>
          <w:rFonts w:ascii="Times New Roman" w:hAnsi="Times New Roman"/>
          <w:b/>
          <w:i w:val="false"/>
          <w:color w:val="000000"/>
          <w:sz w:val="22"/>
        </w:rPr>
        <w:t xml:space="preserve">(8B,17A) </w:t>
      </w:r>
      <w:r>
        <w:rPr>
          <w:rFonts w:ascii="Times New Roman" w:hAnsi="Times New Roman"/>
          <w:b/>
          <w:i w:val="false"/>
          <w:color w:val="000000"/>
          <w:sz w:val="22"/>
        </w:rPr>
        <w:t xml:space="preserve">Summary reports. </w:t>
      </w:r>
      <w:r>
        <w:rPr>
          <w:rFonts w:ascii="Times New Roman" w:hAnsi="Times New Roman"/>
          <w:b w:val="false"/>
          <w:i w:val="false"/>
          <w:color w:val="000000"/>
          <w:sz w:val="22"/>
        </w:rPr>
        <w:t>Semiannually, the office shall prepare a summary report identifying the rules for which a waiver has been granted or denied, the number of times a waiver was granted or denied for each rule, a citation to the statutory provisions implemented by such rules, and a general summary of the reasons justifying the office’s actions on waiver requests under this chapter. If practicable, the report shall detail the extent to which the granting of a waiver under this chapter has affected the general applicability of the rule itself. Copies of this report shall be available for public inspection and shall be provided semiannually to the administrative rules coordinator and the administrative rules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129—7.12</w:t>
      </w:r>
      <w:r>
        <w:rPr>
          <w:rFonts w:ascii="Times New Roman" w:hAnsi="Times New Roman"/>
          <w:b/>
          <w:i w:val="false"/>
          <w:color w:val="000000"/>
          <w:sz w:val="22"/>
        </w:rPr>
        <w:t xml:space="preserve">(8B,17A)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CIO pursuant to this chapter may be withdrawn, canceled, or modified if, after appropriate notice and hearing, the CIO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and information security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129—7.13</w:t>
      </w:r>
      <w:r>
        <w:rPr>
          <w:rFonts w:ascii="Times New Roman" w:hAnsi="Times New Roman"/>
          <w:b/>
          <w:i w:val="false"/>
          <w:color w:val="000000"/>
          <w:sz w:val="22"/>
        </w:rPr>
        <w:t xml:space="preserve">(8B,17A)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129—7.14</w:t>
      </w:r>
      <w:r>
        <w:rPr>
          <w:rFonts w:ascii="Times New Roman" w:hAnsi="Times New Roman"/>
          <w:b/>
          <w:i w:val="false"/>
          <w:color w:val="000000"/>
          <w:sz w:val="22"/>
        </w:rPr>
        <w:t xml:space="preserve">(8B,17A)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CIO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129—7.15</w:t>
      </w:r>
      <w:r>
        <w:rPr>
          <w:rFonts w:ascii="Times New Roman" w:hAnsi="Times New Roman"/>
          <w:b/>
          <w:i w:val="false"/>
          <w:color w:val="000000"/>
          <w:sz w:val="22"/>
        </w:rPr>
        <w:t xml:space="preserve">(8B,17A)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an office decision granting or denying a waiver petition may be taken in accordance with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4823C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8B.4(5)</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4823C</w:t>
      </w:r>
      <w:r>
        <w:rPr>
          <w:rFonts w:ascii="Times New Roman" w:hAnsi="Times New Roman"/>
          <w:b w:val="false"/>
          <w:i w:val="false"/>
          <w:color w:val="000000"/>
          <w:sz w:val="21"/>
        </w:rPr>
        <w:t xml:space="preserve"> (Notice ARC 4710C, IAB 10/23/19)</w:t>
      </w:r>
      <w:r>
        <w:rPr>
          <w:rFonts w:ascii="Times New Roman" w:hAnsi="Times New Roman"/>
          <w:b w:val="false"/>
          <w:i w:val="false"/>
          <w:color w:val="000000"/>
          <w:sz w:val="21"/>
        </w:rPr>
        <w:t>, IAB 12/18/19, effective 1/22/20]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B.1.pdf" Type="http://schemas.openxmlformats.org/officeDocument/2006/relationships/hyperlink" Id="rId5"/>
    <Relationship TargetMode="External" Target="https://www.legis.iowa.gov/docs/iac/rule/129.10.2.pdf" Type="http://schemas.openxmlformats.org/officeDocument/2006/relationships/hyperlink" Id="rId6"/>
    <Relationship TargetMode="External" Target="https://www.legis.iowa.gov/docs/iac/rule/129.8.1.pdf" Type="http://schemas.openxmlformats.org/officeDocument/2006/relationships/hyperlink" Id="rId7"/>
    <Relationship TargetMode="External" Target="https://www.legis.iowa.gov/docs/ico/chapter/8B.pdf" Type="http://schemas.openxmlformats.org/officeDocument/2006/relationships/hyperlink" Id="rId8"/>
    <Relationship TargetMode="External" Target="https://www.legis.iowa.gov/docs/ico/chapter/8B.21.pdf" Type="http://schemas.openxmlformats.org/officeDocument/2006/relationships/hyperlink" Id="rId9"/>
    <Relationship TargetMode="External" Target="https://www.legis.iowa.gov/docs/iac/chapter/129.8.pdf" Type="http://schemas.openxmlformats.org/officeDocument/2006/relationships/hyperlink" Id="rId10"/>
    <Relationship TargetMode="External" Target="https://www.legis.iowa.gov/docs/ico/chapter/8B.pdf" Type="http://schemas.openxmlformats.org/officeDocument/2006/relationships/hyperlink" Id="rId11"/>
    <Relationship TargetMode="External" Target="https://www.legis.iowa.gov/docs/iac/rule/129.7.5.pdf" Type="http://schemas.openxmlformats.org/officeDocument/2006/relationships/hyperlink" Id="rId12"/>
    <Relationship TargetMode="External" Target="https://www.legis.iowa.gov/docs/iac/rule/129.7.3.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ac/rule/129.1.2.pdf" Type="http://schemas.openxmlformats.org/officeDocument/2006/relationships/hyperlink" Id="rId15"/>
    <Relationship TargetMode="External" Target="https://www.legis.iowa.gov/docs/iac/rule/129.7.4.pdf" Type="http://schemas.openxmlformats.org/officeDocument/2006/relationships/hyperlink" Id="rId16"/>
    <Relationship TargetMode="External" Target="https://www.legis.iowa.gov/docs/iac/rule/129.7.3.pdf" Type="http://schemas.openxmlformats.org/officeDocument/2006/relationships/hyperlink" Id="rId17"/>
    <Relationship TargetMode="External" Target="https://www.legis.iowa.gov/docs/ico/chapter/17A.10-18A.pdf" Type="http://schemas.openxmlformats.org/officeDocument/2006/relationships/hyperlink" Id="rId18"/>
    <Relationship TargetMode="External" Target="https://www.legis.iowa.gov/docs/iac/chapter/129.6.pdf" Type="http://schemas.openxmlformats.org/officeDocument/2006/relationships/hyperlink" Id="rId19"/>
    <Relationship TargetMode="External" Target="https://www.legis.iowa.gov/docs/ico/chapter/17A.3.pdf" Type="http://schemas.openxmlformats.org/officeDocument/2006/relationships/hyperlink" Id="rId20"/>
    <Relationship TargetMode="External" Target="https://www.legis.iowa.gov/docs/ico/chapter/22.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8B.4.pdf" Type="http://schemas.openxmlformats.org/officeDocument/2006/relationships/hyperlink" Id="rId23"/>
    <Relationship TargetMode="External" Target="https://www.legis.iowa.gov/docs/ico/chapter/17A.9A.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