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OFFICE PROCEDURE FOR RULE 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129—5.1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Except to the extent otherwise expressly provided by statute, all rules adopted by the office are subject to the provisions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the provisions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129—5.2</w:t>
      </w:r>
      <w:r>
        <w:rPr>
          <w:rFonts w:ascii="Times New Roman" w:hAnsi="Times New Roman"/>
          <w:b/>
          <w:i w:val="false"/>
          <w:color w:val="000000"/>
          <w:sz w:val="22"/>
        </w:rPr>
        <w:t xml:space="preserve">(17A) </w:t>
      </w:r>
      <w:r>
        <w:rPr>
          <w:rFonts w:ascii="Times New Roman" w:hAnsi="Times New Roman"/>
          <w:b/>
          <w:i w:val="false"/>
          <w:color w:val="000000"/>
          <w:sz w:val="22"/>
        </w:rPr>
        <w:t xml:space="preserve">Advice on possible rules before notice of proposed rule adoption. </w:t>
      </w:r>
      <w:r>
        <w:rPr>
          <w:rFonts w:ascii="Times New Roman" w:hAnsi="Times New Roman"/>
          <w:b w:val="false"/>
          <w:i w:val="false"/>
          <w:color w:val="000000"/>
          <w:sz w:val="22"/>
        </w:rPr>
        <w:t xml:space="preserve">In addition to seeking information by other methods, the office may, before publication of a Notice of Intended Action under Iowa Code section </w:t>
      </w:r>
      <w:hyperlink r:id="rId6">
        <w:r>
          <w:rPr>
            <w:rStyle w:val="Hyperlink"/>
            <w:rFonts w:ascii="Times New Roman" w:hAnsi="Times New Roman"/>
            <w:b w:val="false"/>
            <w:i w:val="false"/>
            <w:color w:val="000000"/>
            <w:sz w:val="22"/>
          </w:rPr>
          <w:t>17A.4(1)</w:t>
        </w:r>
        <w:r>
          <w:rPr>
            <w:rFonts w:ascii="Times New Roman" w:hAnsi="Times New Roman"/>
            <w:b w:val="false"/>
            <w:i/>
            <w:color w:val="000000"/>
            <w:sz w:val="22"/>
          </w:rPr>
          <w:t>“a,”</w:t>
        </w:r>
      </w:hyperlink>
      <w:r>
        <w:rPr>
          <w:rFonts w:ascii="Times New Roman" w:hAnsi="Times New Roman"/>
          <w:b w:val="false"/>
          <w:i w:val="false"/>
          <w:color w:val="000000"/>
          <w:sz w:val="22"/>
        </w:rPr>
        <w:t xml:space="preserve"> solicit comments from the public on a subject matter of possible rule making by the office by causing notice to be published in the Iowa Administrative Bulletin of the subject matter and indicating where, when, and how persons may comment.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129—5.3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Docket maintained. </w:t>
      </w:r>
      <w:r>
        <w:rPr>
          <w:rFonts w:ascii="Times New Roman" w:hAnsi="Times New Roman"/>
          <w:b w:val="false"/>
          <w:i w:val="false"/>
          <w:color w:val="000000"/>
          <w:sz w:val="22"/>
        </w:rPr>
        <w:t>The office shall maintain a current public rule-making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Anticipated rule making. </w:t>
      </w:r>
      <w:r>
        <w:rPr>
          <w:rFonts w:ascii="Times New Roman" w:hAnsi="Times New Roman"/>
          <w:b w:val="false"/>
          <w:i w:val="false"/>
          <w:color w:val="000000"/>
          <w:sz w:val="22"/>
        </w:rPr>
        <w:t xml:space="preserve">The rule-making docket shall list each anticipated rule-making proceeding. A rule-making proceeding is deemed “anticipated” from the time a draft of a proposed rule is distributed for internal discussion within the office. For each anticipated rule-making proceeding, the docket shall contain a listing of the precise subject matter which may be submitted for consideration by the office for subsequent proposal under the provisions of Iowa Code section </w:t>
      </w:r>
      <w:hyperlink r:id="rId7">
        <w:r>
          <w:rPr>
            <w:rStyle w:val="Hyperlink"/>
            <w:rFonts w:ascii="Times New Roman" w:hAnsi="Times New Roman"/>
            <w:b w:val="false"/>
            <w:i w:val="false"/>
            <w:color w:val="000000"/>
            <w:sz w:val="22"/>
          </w:rPr>
          <w:t>17A.4(1)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name and address of office personnel with whom persons may communicate with respect to the matter, and an indication of the present status within the office of that possible rule. The office may also include in the docket other subjects upon which public comment is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w:t>
      </w:r>
      <w:r>
        <w:rPr>
          <w:rFonts w:ascii="Times New Roman" w:hAnsi="Times New Roman"/>
          <w:b w:val="false"/>
          <w:i w:val="false"/>
          <w:color w:val="000000"/>
          <w:sz w:val="22"/>
        </w:rPr>
        <w:t> </w:t>
      </w:r>
      <w:r>
        <w:rPr>
          <w:rFonts w:ascii="Times New Roman" w:hAnsi="Times New Roman"/>
          <w:b w:val="false"/>
          <w:i/>
          <w:color w:val="000000"/>
          <w:sz w:val="22"/>
        </w:rPr>
        <w:t xml:space="preserve">Pending rule-making proceedings. </w:t>
      </w:r>
      <w:r>
        <w:rPr>
          <w:rFonts w:ascii="Times New Roman" w:hAnsi="Times New Roman"/>
          <w:b w:val="false"/>
          <w:i w:val="false"/>
          <w:color w:val="000000"/>
          <w:sz w:val="22"/>
        </w:rPr>
        <w:t xml:space="preserve">The rule-making docket shall list each pending rule-making proceeding. A rule-making proceeding is pending from the time it is commenced, by publication in the Iowa Administrative Bulletin of a Notice of Intended Action pursuant to Iowa Code section </w:t>
      </w:r>
      <w:hyperlink r:id="rId8">
        <w:r>
          <w:rPr>
            <w:rStyle w:val="Hyperlink"/>
            <w:rFonts w:ascii="Times New Roman" w:hAnsi="Times New Roman"/>
            <w:b w:val="false"/>
            <w:i w:val="false"/>
            <w:color w:val="000000"/>
            <w:sz w:val="22"/>
          </w:rPr>
          <w:t>17A.4(1)</w:t>
        </w:r>
        <w:r>
          <w:rPr>
            <w:rFonts w:ascii="Times New Roman" w:hAnsi="Times New Roman"/>
            <w:b w:val="false"/>
            <w:i/>
            <w:color w:val="000000"/>
            <w:sz w:val="22"/>
          </w:rPr>
          <w:t>“a,”</w:t>
        </w:r>
      </w:hyperlink>
      <w:r>
        <w:rPr>
          <w:rFonts w:ascii="Times New Roman" w:hAnsi="Times New Roman"/>
          <w:b w:val="false"/>
          <w:i w:val="false"/>
          <w:color w:val="000000"/>
          <w:sz w:val="22"/>
        </w:rPr>
        <w:t xml:space="preserve"> to the time it is terminated, by publication of a Notice of Termination in the Iowa Administrative Bulletin or the rule’s becoming effective. For each rule-making proceeding, the docket shall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matter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all published notices relating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written submissions on the proposed rule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during which written submissions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of persons who have made written requests for an opportunity to make oral presentations on the proposed rule, where those requests may be inspected, and where and when oral presentations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a written request for the issuance of a regulatory analysis, or a concise statement of reasons, has been filed; whether such an analysis or statement or a fiscal impact statement has been issued; and where any such written request, analysis, or statement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current status of the proposed rule and any office determination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known timetable for office decisions or other action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of the rule’s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the rule’s filing, indexing, and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date on which the rule will become effective;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Where the rule-making record may be inspected.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129—5.4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At least 35 days before the adoption of a rule, the office shall cause a Notice of Intended Action to be published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purpose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legal authority for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to the extent impracticable, the text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present their views on the proposed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demand an oral proceeding on the proposed rule if the notice does not already provide for one.</w:t>
      </w:r>
    </w:p>
    <w:p>
      <w:pPr>
        <w:spacing w:before="0" w:after="0"/>
        <w:ind w:left="120"/>
        <w:jc w:val="both"/>
      </w:pPr>
      <w:r>
        <w:rPr>
          <w:rFonts w:ascii="Times New Roman" w:hAnsi="Times New Roman"/>
          <w:b w:val="false"/>
          <w:i w:val="false"/>
          <w:color w:val="000000"/>
          <w:sz w:val="22"/>
        </w:rPr>
        <w:t>Where inclusion of the complete text of a proposed rule in the Notice of Intended Action is impracticable, the office shall include in the notice a statement fully describing the specific subject matter of the omitted portion of the text of the proposed rule, the specific issues to be addressed by that omitted text of the proposed rule, and the range of possible choices being considered by the office for the resolution of each of those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A proposed rule may incorporate other materials by reference only if it complies with all of the requirements applicable to the incorporation by reference of other materials in an adopted rule that are contained in subrule </w:t>
      </w:r>
      <w:hyperlink r:id="rId9">
        <w:r>
          <w:rPr>
            <w:rStyle w:val="Hyperlink"/>
            <w:rFonts w:ascii="Times New Roman" w:hAnsi="Times New Roman"/>
            <w:b w:val="false"/>
            <w:i w:val="false"/>
            <w:color w:val="000000"/>
            <w:sz w:val="22"/>
          </w:rPr>
          <w:t>5.12(2)</w:t>
        </w:r>
      </w:hyperlink>
      <w:r>
        <w:rPr>
          <w:rFonts w:ascii="Times New Roman" w:hAnsi="Times New Roman"/>
          <w:b w:val="false"/>
          <w:i w:val="false"/>
          <w:color w:val="000000"/>
          <w:sz w:val="22"/>
        </w:rPr>
        <w:t xml:space="preserve">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w:t>
      </w:r>
      <w:r>
        <w:rPr>
          <w:rFonts w:ascii="Times New Roman" w:hAnsi="Times New Roman"/>
          <w:b w:val="false"/>
          <w:i w:val="false"/>
          <w:color w:val="000000"/>
          <w:sz w:val="22"/>
        </w:rPr>
        <w:t> </w:t>
      </w:r>
      <w:r>
        <w:rPr>
          <w:rFonts w:ascii="Times New Roman" w:hAnsi="Times New Roman"/>
          <w:b w:val="false"/>
          <w:i/>
          <w:color w:val="000000"/>
          <w:sz w:val="22"/>
        </w:rPr>
        <w:t xml:space="preserve">Copies of notices. </w:t>
      </w:r>
      <w:r>
        <w:rPr>
          <w:rFonts w:ascii="Times New Roman" w:hAnsi="Times New Roman"/>
          <w:b w:val="false"/>
          <w:i w:val="false"/>
          <w:color w:val="000000"/>
          <w:sz w:val="22"/>
        </w:rPr>
        <w:t>Persons desiring to receive copies of future Notices of Intended Action by subscription must file with the office a written request indicating the name and address to which such notices should be sent. Within seven days after submission of a Notice of Intended Action to the administrative rules coordinator for publication in the Iowa Administrative Bulletin, the office shall mail or electronically transmit a copy of that notice to subscribers who have filed a written request for either mailing or electronic transmittal with the office for Notices of Intended Action. The written request shall be accompanied by payment of the subscription price which may cover the full cost of the subscription service, including its administrative overhead and the cost of copying and mailing the Notices of Intended Action for a period of one year. Inquiries regarding the subscription price should be directed to the Office of the Chief Information Officer, Hoover State Office Building, Level B, 1305 East Walnut Street,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129—5.5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For at least 20 days after publication of the Notice of Intended Action, persons may submit argument, data, and views, in writing, on the proposed rule. Such written submissions should identify the proposed rule to which they relate and should be submitted to the person designated in the Notice of Intended Action at the address designated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office may, at any time, schedule an oral proceeding on a proposed rule. The office shall schedule an oral proceeding on a proposed rule if, within 20 days after the published Notice of Intended Action, a written request for an opportunity to make oral presentations is submitted to the office by the administrative rules review committee, a governmental subdivision, an agency, an association having not less than 25 members, or at least 25 persons. That request must also contain the following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by one or more individual persons must be signed by each of them and include the address and telephone number of each of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by an association must be signed by an officer or designee of the association and must contain a statement that the association has at least 25 members and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request by an agency or governmental subdivision must be signed by an official having authority to act on behalf of the entity and must contain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subrule applies only to those oral rule-making proceedings in which an opportunity to make oral presentations is authorized or required by Iowa Code section </w:t>
      </w:r>
      <w:hyperlink r:id="rId10">
        <w:r>
          <w:rPr>
            <w:rStyle w:val="Hyperlink"/>
            <w:rFonts w:ascii="Times New Roman" w:hAnsi="Times New Roman"/>
            <w:b w:val="false"/>
            <w:i w:val="false"/>
            <w:color w:val="000000"/>
            <w:sz w:val="22"/>
          </w:rPr>
          <w:t>17A.4(1)</w:t>
        </w:r>
        <w:r>
          <w:rPr>
            <w:rFonts w:ascii="Times New Roman" w:hAnsi="Times New Roman"/>
            <w:b w:val="false"/>
            <w:i/>
            <w:color w:val="000000"/>
            <w:sz w:val="22"/>
          </w:rPr>
          <w:t>“b”</w:t>
        </w:r>
      </w:hyperlink>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Scheduling and notice. </w:t>
      </w:r>
      <w:r>
        <w:rPr>
          <w:rFonts w:ascii="Times New Roman" w:hAnsi="Times New Roman"/>
          <w:b w:val="false"/>
          <w:i w:val="false"/>
          <w:color w:val="000000"/>
          <w:sz w:val="22"/>
        </w:rPr>
        <w:t>An oral proceeding on a proposed rule may be held in one or more locations and shall not be held earlier than 20 days after notice of its location and time is published in the Iowa Administrative Bulletin. That notice shall also identify the proposed rule by ARC number and citation to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CIO, a member of the office, or another person designated by the CIO who will be familiar with the substance of the proposed rule shall preside at the oral proceeding on a proposed rule. If the CIO does not preside, the presiding officer shall prepare a memorandum for consideration by the CIO summarizing the contents of the presentations made at the oral proceeding unless the CIO determines that such a memorandum is unnecessary because the CIO will personally listen to or read the entire transcript of the oral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 </w:t>
      </w:r>
      <w:r>
        <w:rPr>
          <w:rFonts w:ascii="Times New Roman" w:hAnsi="Times New Roman"/>
          <w:b w:val="false"/>
          <w:i w:val="false"/>
          <w:color w:val="000000"/>
          <w:sz w:val="22"/>
        </w:rPr>
        <w:t>At an oral proceeding on a proposed rule, persons may make oral statements and make documentary and physical submissions, which may include data, views, comments or arguments concerning the proposed rule. Persons wishing to make oral presentations at such a proceeding are encouraged to notify the CIO at least one business day prior to the proceeding and indicate the general subject of their presentations. At the proceeding, those who participate shall indicate their names and addresses, identify any persons or organizations they may represent, and provide any other information relating to their participation deemed appropriate by the presiding officer. Oral proceedings shall be open to the public and shall be recorded by stenographic or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beginning of the oral proceeding, the presiding officer shall give a brief synopsis of the proposed rule, a statement of the statutory authority for the proposed rule, and the reasons for the office’s decision to propose the rule. The presiding officer may place time limitations on individual oral presentations when necessary to ensure the orderly and expeditious conduct of the oral proceeding. To encourage joint oral presentations and to avoid repetition, additional time may be provided for persons whose presentations represent the views of other individuals as well as their own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making oral presentations are encouraged to avoid restating matters which have already been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facilitate the exchange of information, the presiding officer may, where time permits, open the floor to questions or general discussion.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Physical and documentary submissions presented by participants in the oral proceeding shall be submitted to the presiding officer. Such submissions become the property of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continue the oral proceeding at a later time without notice other than by announcement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Participants in an oral proceeding shall not be required to take an oath or submit to cross-examination. However, the presiding officer in an oral proceeding may question participants and permit the questioning of participants by other participants about any matter relating to that rule-making proceeding, including any prior written submissions made by those participants in that proceeding; but no participant shall be required to answer any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an oral proceeding may permit rebuttal statements and request the filing of written statements subsequent to the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office may obtain information concerning a proposed rule through any other lawful means deemed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The office shall schedule oral proceedings in rooms accessible to and functional for persons with physical disabilities. Persons who have special requirements should contact the person designated in the Notice of Intended Action at the telephone number or address provided in the Notice of Intended Action in advance to arrange access or other needed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129—5.6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w:t>
      </w:r>
      <w:r>
        <w:rPr>
          <w:rFonts w:ascii="Times New Roman" w:hAnsi="Times New Roman"/>
          <w:b w:val="false"/>
          <w:i w:val="false"/>
          <w:color w:val="000000"/>
          <w:sz w:val="22"/>
        </w:rPr>
        <w:t> </w:t>
      </w:r>
      <w:r>
        <w:rPr>
          <w:rFonts w:ascii="Times New Roman" w:hAnsi="Times New Roman"/>
          <w:b w:val="false"/>
          <w:i/>
          <w:color w:val="000000"/>
          <w:sz w:val="22"/>
        </w:rPr>
        <w:t xml:space="preserve">Definition of small business. </w:t>
      </w:r>
      <w:r>
        <w:rPr>
          <w:rFonts w:ascii="Times New Roman" w:hAnsi="Times New Roman"/>
          <w:b w:val="false"/>
          <w:i w:val="false"/>
          <w:color w:val="000000"/>
          <w:sz w:val="22"/>
        </w:rPr>
        <w:t xml:space="preserve">A “small business” is defined in Iowa Code section </w:t>
      </w:r>
      <w:hyperlink r:id="rId11">
        <w:r>
          <w:rPr>
            <w:rStyle w:val="Hyperlink"/>
            <w:rFonts w:ascii="Times New Roman" w:hAnsi="Times New Roman"/>
            <w:b w:val="false"/>
            <w:i w:val="false"/>
            <w:color w:val="000000"/>
            <w:sz w:val="22"/>
          </w:rPr>
          <w:t>17A.4A(8)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Small businesses or organizations of small businesses may be registered on the office’s small business impact list by making a written application addressed to Small Business Registry, c/o Business Services Division, Office of the Chief Information Officer, Hoover State Office Building, Level B, 1305 East Walnut Street, Des Moines, Iowa 50319. The application for registration shall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small business or organization of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address of the small business or organization of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a person authorized to transact business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business or organization. An organization representing 25 or more persons who qualify as a small business shall indicate that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desires copies of Notices of Intended Action at cost, or desires advance notice of the subject of all or some specific category of proposed rule making affecting small business.</w:t>
      </w:r>
    </w:p>
    <w:p>
      <w:pPr>
        <w:spacing w:before="0" w:after="0"/>
        <w:ind w:left="120"/>
        <w:jc w:val="both"/>
      </w:pPr>
      <w:r>
        <w:rPr>
          <w:rFonts w:ascii="Times New Roman" w:hAnsi="Times New Roman"/>
          <w:b w:val="false"/>
          <w:i w:val="false"/>
          <w:color w:val="000000"/>
          <w:sz w:val="22"/>
        </w:rPr>
        <w:t>The office may at any time request additional information from the applicant to determine whether the applicant is qualified as a small business or as an organization of 25 or more small businesses. The office may periodically send a letter to each registered small business or organization of small businesses asking whether that business or organization wishes to remain on the registration list. The name of a small business or organization of small businesses will be removed from the list if a negative response is received, or if no response is received within 30 days after the letter is 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w:t>
      </w:r>
      <w:r>
        <w:rPr>
          <w:rFonts w:ascii="Times New Roman" w:hAnsi="Times New Roman"/>
          <w:b w:val="false"/>
          <w:i w:val="false"/>
          <w:color w:val="000000"/>
          <w:sz w:val="22"/>
        </w:rPr>
        <w:t> </w:t>
      </w:r>
      <w:r>
        <w:rPr>
          <w:rFonts w:ascii="Times New Roman" w:hAnsi="Times New Roman"/>
          <w:b w:val="false"/>
          <w:i/>
          <w:color w:val="000000"/>
          <w:sz w:val="22"/>
        </w:rPr>
        <w:t xml:space="preserve">Time of mailing. </w:t>
      </w:r>
      <w:r>
        <w:rPr>
          <w:rFonts w:ascii="Times New Roman" w:hAnsi="Times New Roman"/>
          <w:b w:val="false"/>
          <w:i w:val="false"/>
          <w:color w:val="000000"/>
          <w:sz w:val="22"/>
        </w:rPr>
        <w:t xml:space="preserve">Within seven days after submission of a Notice of Intended Action to the administrative rules coordinator for publication in the Iowa Administrative Bulletin, the office shall mail to all registered small businesses or organizations of small businesses, in accordance with their request, either a copy of the Notice of Intended Action or notice of the subject of that proposed rule making. In the case of a rule that may have an impact on small business and that was adopted in reliance upon Iowa Code section </w:t>
      </w:r>
      <w:hyperlink r:id="rId12">
        <w:r>
          <w:rPr>
            <w:rStyle w:val="Hyperlink"/>
            <w:rFonts w:ascii="Times New Roman" w:hAnsi="Times New Roman"/>
            <w:b w:val="false"/>
            <w:i w:val="false"/>
            <w:color w:val="000000"/>
            <w:sz w:val="22"/>
          </w:rPr>
          <w:t>17A.4(3)</w:t>
        </w:r>
      </w:hyperlink>
      <w:r>
        <w:rPr>
          <w:rFonts w:ascii="Times New Roman" w:hAnsi="Times New Roman"/>
          <w:b w:val="false"/>
          <w:i w:val="false"/>
          <w:color w:val="000000"/>
          <w:sz w:val="22"/>
        </w:rPr>
        <w:t>, the office shall mail notice of the adopted rule to registered businesses or organizations prior to the time the adopted rule is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analysis—economic impact. </w:t>
      </w:r>
      <w:r>
        <w:rPr>
          <w:rFonts w:ascii="Times New Roman" w:hAnsi="Times New Roman"/>
          <w:b w:val="false"/>
          <w:i w:val="false"/>
          <w:color w:val="000000"/>
          <w:sz w:val="22"/>
        </w:rPr>
        <w:t xml:space="preserve">The office shall issue a regulatory analysis of a proposed rule that conforms to the requirements of Iowa Code section </w:t>
      </w:r>
      <w:hyperlink r:id="rId13">
        <w:r>
          <w:rPr>
            <w:rStyle w:val="Hyperlink"/>
            <w:rFonts w:ascii="Times New Roman" w:hAnsi="Times New Roman"/>
            <w:b w:val="false"/>
            <w:i w:val="false"/>
            <w:color w:val="000000"/>
            <w:sz w:val="22"/>
          </w:rPr>
          <w:t>17A.4A(2)</w:t>
        </w:r>
        <w:r>
          <w:rPr>
            <w:rFonts w:ascii="Times New Roman" w:hAnsi="Times New Roman"/>
            <w:b w:val="false"/>
            <w:i/>
            <w:color w:val="000000"/>
            <w:sz w:val="22"/>
          </w:rPr>
          <w:t>“a”</w:t>
        </w:r>
      </w:hyperlink>
      <w:r>
        <w:rPr>
          <w:rFonts w:ascii="Times New Roman" w:hAnsi="Times New Roman"/>
          <w:b w:val="false"/>
          <w:i w:val="false"/>
          <w:color w:val="000000"/>
          <w:sz w:val="22"/>
        </w:rPr>
        <w:t xml:space="preserve">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analysis—business impact. </w:t>
      </w:r>
      <w:r>
        <w:rPr>
          <w:rFonts w:ascii="Times New Roman" w:hAnsi="Times New Roman"/>
          <w:b w:val="false"/>
          <w:i w:val="false"/>
          <w:color w:val="000000"/>
          <w:sz w:val="22"/>
        </w:rPr>
        <w:t xml:space="preserve">The office shall issue a regulatory analysis of a proposed rule that conforms to the requirements of Iowa Code section </w:t>
      </w:r>
      <w:hyperlink r:id="rId14">
        <w:r>
          <w:rPr>
            <w:rStyle w:val="Hyperlink"/>
            <w:rFonts w:ascii="Times New Roman" w:hAnsi="Times New Roman"/>
            <w:b w:val="false"/>
            <w:i w:val="false"/>
            <w:color w:val="000000"/>
            <w:sz w:val="22"/>
          </w:rPr>
          <w:t>17A.4A(2)</w:t>
        </w:r>
        <w:r>
          <w:rPr>
            <w:rFonts w:ascii="Times New Roman" w:hAnsi="Times New Roman"/>
            <w:b w:val="false"/>
            <w:i/>
            <w:color w:val="000000"/>
            <w:sz w:val="22"/>
          </w:rPr>
          <w:t>“b”</w:t>
        </w:r>
      </w:hyperlink>
      <w:r>
        <w:rPr>
          <w:rFonts w:ascii="Times New Roman" w:hAnsi="Times New Roman"/>
          <w:b w:val="false"/>
          <w:i w:val="false"/>
          <w:color w:val="000000"/>
          <w:sz w:val="22"/>
        </w:rPr>
        <w:t xml:space="preserve">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25 or more persons who sign the request provided that each represents a different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organization representing at least 25 small businesses. That organization shall list the name, address and telephone number of not less than 25 small businesses it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analysis. </w:t>
      </w:r>
      <w:r>
        <w:rPr>
          <w:rFonts w:ascii="Times New Roman" w:hAnsi="Times New Roman"/>
          <w:b w:val="false"/>
          <w:i w:val="false"/>
          <w:color w:val="000000"/>
          <w:sz w:val="22"/>
        </w:rPr>
        <w:t xml:space="preserve">Upon receipt of a timely request for a regulatory analysis, the office shall adhere to the time lines described in Iowa Code section </w:t>
      </w:r>
      <w:hyperlink r:id="rId15">
        <w:r>
          <w:rPr>
            <w:rStyle w:val="Hyperlink"/>
            <w:rFonts w:ascii="Times New Roman" w:hAnsi="Times New Roman"/>
            <w:b w:val="false"/>
            <w:i w:val="false"/>
            <w:color w:val="000000"/>
            <w:sz w:val="22"/>
          </w:rPr>
          <w:t>17A.4A(4)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5.6(7)</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 xml:space="preserve">A request for a regulatory analysis is made when it is mailed or delivered to the office. The request shall be in writing and satisfy the requirements of Iowa Code section </w:t>
      </w:r>
      <w:hyperlink r:id="rId16">
        <w:r>
          <w:rPr>
            <w:rStyle w:val="Hyperlink"/>
            <w:rFonts w:ascii="Times New Roman" w:hAnsi="Times New Roman"/>
            <w:b w:val="false"/>
            <w:i w:val="false"/>
            <w:color w:val="000000"/>
            <w:sz w:val="22"/>
          </w:rPr>
          <w:t>17A.4A(1)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5.6(8)</w:t>
      </w:r>
      <w:r>
        <w:rPr>
          <w:rFonts w:ascii="Times New Roman" w:hAnsi="Times New Roman"/>
          <w:b w:val="false"/>
          <w:i w:val="false"/>
          <w:color w:val="000000"/>
          <w:sz w:val="22"/>
        </w:rPr>
        <w:t> </w:t>
      </w:r>
      <w:r>
        <w:rPr>
          <w:rFonts w:ascii="Times New Roman" w:hAnsi="Times New Roman"/>
          <w:b w:val="false"/>
          <w:i/>
          <w:color w:val="000000"/>
          <w:sz w:val="22"/>
        </w:rPr>
        <w:t xml:space="preserve">Contents of concise summary. </w:t>
      </w:r>
      <w:r>
        <w:rPr>
          <w:rFonts w:ascii="Times New Roman" w:hAnsi="Times New Roman"/>
          <w:b w:val="false"/>
          <w:i w:val="false"/>
          <w:color w:val="000000"/>
          <w:sz w:val="22"/>
        </w:rPr>
        <w:t xml:space="preserve">The contents of the concise summary shall conform to the requirements of Iowa Code sections </w:t>
      </w:r>
      <w:hyperlink r:id="rId17">
        <w:r>
          <w:rPr>
            <w:rStyle w:val="Hyperlink"/>
            <w:rFonts w:ascii="Times New Roman" w:hAnsi="Times New Roman"/>
            <w:b w:val="false"/>
            <w:i w:val="false"/>
            <w:color w:val="000000"/>
            <w:sz w:val="22"/>
          </w:rPr>
          <w:t>17A.4A(4) through 17A.4A(6)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5.6(9)</w:t>
      </w:r>
      <w:r>
        <w:rPr>
          <w:rFonts w:ascii="Times New Roman" w:hAnsi="Times New Roman"/>
          <w:b w:val="false"/>
          <w:i w:val="false"/>
          <w:color w:val="000000"/>
          <w:sz w:val="22"/>
        </w:rPr>
        <w:t> </w:t>
      </w:r>
      <w:r>
        <w:rPr>
          <w:rFonts w:ascii="Times New Roman" w:hAnsi="Times New Roman"/>
          <w:b w:val="false"/>
          <w:i/>
          <w:color w:val="000000"/>
          <w:sz w:val="22"/>
        </w:rPr>
        <w:t xml:space="preserve">Publication of a concise summary. </w:t>
      </w:r>
      <w:r>
        <w:rPr>
          <w:rFonts w:ascii="Times New Roman" w:hAnsi="Times New Roman"/>
          <w:b w:val="false"/>
          <w:i w:val="false"/>
          <w:color w:val="000000"/>
          <w:sz w:val="22"/>
        </w:rPr>
        <w:t xml:space="preserve">The office shall make available, to the maximum extent feasible, copies of the published summary in conformance with Iowa Code section </w:t>
      </w:r>
      <w:hyperlink r:id="rId18">
        <w:r>
          <w:rPr>
            <w:rStyle w:val="Hyperlink"/>
            <w:rFonts w:ascii="Times New Roman" w:hAnsi="Times New Roman"/>
            <w:b w:val="false"/>
            <w:i w:val="false"/>
            <w:color w:val="000000"/>
            <w:sz w:val="22"/>
          </w:rPr>
          <w:t>17A.4A(6)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5.6(10)</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contents—rules review committee or rules coordinator. </w:t>
      </w:r>
      <w:r>
        <w:rPr>
          <w:rFonts w:ascii="Times New Roman" w:hAnsi="Times New Roman"/>
          <w:b w:val="false"/>
          <w:i w:val="false"/>
          <w:color w:val="000000"/>
          <w:sz w:val="22"/>
        </w:rPr>
        <w:t xml:space="preserve">When a regulatory analysis is issued in response to a written request from the administrative rules review committee, or the administrative rules coordinator, the regulatory analysis shall conform to the requirements of Iowa Code section </w:t>
      </w:r>
      <w:hyperlink r:id="rId19">
        <w:r>
          <w:rPr>
            <w:rStyle w:val="Hyperlink"/>
            <w:rFonts w:ascii="Times New Roman" w:hAnsi="Times New Roman"/>
            <w:b w:val="false"/>
            <w:i w:val="false"/>
            <w:color w:val="000000"/>
            <w:sz w:val="22"/>
          </w:rPr>
          <w:t>17A.4A(2)</w:t>
        </w:r>
        <w:r>
          <w:rPr>
            <w:rFonts w:ascii="Times New Roman" w:hAnsi="Times New Roman"/>
            <w:b w:val="false"/>
            <w:i/>
            <w:color w:val="000000"/>
            <w:sz w:val="22"/>
          </w:rPr>
          <w:t>“a,”</w:t>
        </w:r>
      </w:hyperlink>
      <w:r>
        <w:rPr>
          <w:rFonts w:ascii="Times New Roman" w:hAnsi="Times New Roman"/>
          <w:b w:val="false"/>
          <w:i w:val="false"/>
          <w:color w:val="000000"/>
          <w:sz w:val="22"/>
        </w:rPr>
        <w:t xml:space="preserve"> unless a written request expressly waives one or more of the items listed in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5.6(11)</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contents—substantial impact on small business. </w:t>
      </w:r>
      <w:r>
        <w:rPr>
          <w:rFonts w:ascii="Times New Roman" w:hAnsi="Times New Roman"/>
          <w:b w:val="false"/>
          <w:i w:val="false"/>
          <w:color w:val="000000"/>
          <w:sz w:val="22"/>
        </w:rPr>
        <w:t xml:space="preserve">When a regulatory analysis is issued in response to a written request from the administrative rules review committee, the administrative rules coordinator, at least 25 persons signing that request who each qualify as a small business or by an organization representing at least 25 small businesses, the regulatory analysis shall conform to the requirements of Iowa Code section </w:t>
      </w:r>
      <w:hyperlink r:id="rId20">
        <w:r>
          <w:rPr>
            <w:rStyle w:val="Hyperlink"/>
            <w:rFonts w:ascii="Times New Roman" w:hAnsi="Times New Roman"/>
            <w:b w:val="false"/>
            <w:i w:val="false"/>
            <w:color w:val="000000"/>
            <w:sz w:val="22"/>
          </w:rPr>
          <w:t>17A.4A(2)</w:t>
        </w:r>
        <w:r>
          <w:rPr>
            <w:rFonts w:ascii="Times New Roman" w:hAnsi="Times New Roman"/>
            <w:b w:val="false"/>
            <w:i/>
            <w:color w:val="000000"/>
            <w:sz w:val="22"/>
          </w:rPr>
          <w:t>“b.”</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129—5.7</w:t>
      </w:r>
      <w:r>
        <w:rPr>
          <w:rFonts w:ascii="Times New Roman" w:hAnsi="Times New Roman"/>
          <w:b/>
          <w:i w:val="false"/>
          <w:color w:val="000000"/>
          <w:sz w:val="22"/>
        </w:rPr>
        <w:t xml:space="preserve">(17A,25B) </w:t>
      </w:r>
      <w:r>
        <w:rPr>
          <w:rFonts w:ascii="Times New Roman" w:hAnsi="Times New Roman"/>
          <w:b/>
          <w:i w:val="false"/>
          <w:color w:val="000000"/>
          <w:sz w:val="22"/>
        </w:rPr>
        <w:t xml:space="preserve">Fiscal impact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proposed rule that mandates additional combined expenditures exceeding $100,000 by all affected political subdivisions, or agencies and entities which contract with political subdivisions to provide services, shall be accompanied by a fiscal impact statement outlining the costs associated with the rule. A fiscal impact statement shall satisfy the requirements of Iowa Code section </w:t>
      </w:r>
      <w:hyperlink r:id="rId21">
        <w:r>
          <w:rPr>
            <w:rStyle w:val="Hyperlink"/>
            <w:rFonts w:ascii="Times New Roman" w:hAnsi="Times New Roman"/>
            <w:b w:val="false"/>
            <w:i w:val="false"/>
            <w:color w:val="000000"/>
            <w:sz w:val="22"/>
          </w:rPr>
          <w:t>25B.5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w:t>
      </w:r>
      <w:r>
        <w:rPr>
          <w:rFonts w:ascii="Times New Roman" w:hAnsi="Times New Roman"/>
          <w:b w:val="false"/>
          <w:i w:val="false"/>
          <w:color w:val="000000"/>
          <w:sz w:val="22"/>
        </w:rPr>
        <w:t> </w:t>
      </w:r>
      <w:r>
        <w:rPr>
          <w:rFonts w:ascii="Times New Roman" w:hAnsi="Times New Roman"/>
          <w:b w:val="false"/>
          <w:i w:val="false"/>
          <w:color w:val="000000"/>
          <w:sz w:val="22"/>
        </w:rPr>
        <w:t>If the office determines at the time it adopts a rule that the fiscal impact statement upon which the rule is based contains errors, the office shall, at the same time, issue a corrected fiscal impact statement and publish the corrected fiscal impact statement in the Iowa Administrative Bulletin.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129—5.8</w:t>
      </w:r>
      <w:r>
        <w:rPr>
          <w:rFonts w:ascii="Times New Roman" w:hAnsi="Times New Roman"/>
          <w:b/>
          <w:i w:val="false"/>
          <w:color w:val="000000"/>
          <w:sz w:val="22"/>
        </w:rPr>
        <w:t xml:space="preserve">(17A) </w:t>
      </w:r>
      <w:r>
        <w:rPr>
          <w:rFonts w:ascii="Times New Roman" w:hAnsi="Times New Roman"/>
          <w:b/>
          <w:i w:val="false"/>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office shall not adopt a rule until the period for making written submissions and oral presentations has expired. Within 180 days after the later of the publication of the Notice of Intended Action, or the end of oral proceedings thereon, the office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office shall consider fully all of the written submissions and oral submissions received in that rule-making proceeding or any memorandum summarizing such oral submissions,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w:t>
      </w:r>
      <w:r>
        <w:rPr>
          <w:rFonts w:ascii="Times New Roman" w:hAnsi="Times New Roman"/>
          <w:b w:val="false"/>
          <w:i w:val="false"/>
          <w:color w:val="000000"/>
          <w:sz w:val="22"/>
        </w:rPr>
        <w:t> </w:t>
      </w:r>
      <w:r>
        <w:rPr>
          <w:rFonts w:ascii="Times New Roman" w:hAnsi="Times New Roman"/>
          <w:b w:val="false"/>
          <w:i/>
          <w:color w:val="000000"/>
          <w:sz w:val="22"/>
        </w:rPr>
        <w:t xml:space="preserve">Reliance on office expertise. </w:t>
      </w:r>
      <w:r>
        <w:rPr>
          <w:rFonts w:ascii="Times New Roman" w:hAnsi="Times New Roman"/>
          <w:b w:val="false"/>
          <w:i w:val="false"/>
          <w:color w:val="000000"/>
          <w:sz w:val="22"/>
        </w:rPr>
        <w:t>Except as otherwise provided by law, the office may use its own experience, technical competence, specialized knowledge, and judgment in the adoption of a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129—5.9</w:t>
      </w:r>
      <w:r>
        <w:rPr>
          <w:rFonts w:ascii="Times New Roman" w:hAnsi="Times New Roman"/>
          <w:b/>
          <w:i w:val="false"/>
          <w:color w:val="000000"/>
          <w:sz w:val="22"/>
        </w:rPr>
        <w:t xml:space="preserve">(17A) </w:t>
      </w:r>
      <w:r>
        <w:rPr>
          <w:rFonts w:ascii="Times New Roman" w:hAnsi="Times New Roman"/>
          <w:b/>
          <w:i w:val="false"/>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val="false"/>
          <w:color w:val="000000"/>
          <w:sz w:val="22"/>
        </w:rPr>
        <w:t>The office shall not adopt a rule that differs from the rule proposed in the Notice of Intended Action on which the rule is based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differences are within the scope of the subject matter announced in the Notice of Intended Action and are in character with the issues raised in that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differences are a logical outgrowth of the contents of that Notice of Intended Action and the comments submitted in response thereto;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of Intended Action provided fair warning that the outcome of that rule-making proceeding could be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the Notice of Intended Action provided fair warning that the outcome of that rule-making proceeding could be the rule in question, the office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persons who will be affected by the rule should have understood that the rule-making proceeding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subject matter of the rule or the issues determined by the rule are different from the subject matter or issues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effects of the rule differ from the effects of the proposed rule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w:t>
      </w:r>
      <w:r>
        <w:rPr>
          <w:rFonts w:ascii="Times New Roman" w:hAnsi="Times New Roman"/>
          <w:b w:val="false"/>
          <w:i w:val="false"/>
          <w:color w:val="000000"/>
          <w:sz w:val="22"/>
        </w:rPr>
        <w:t> </w:t>
      </w:r>
      <w:r>
        <w:rPr>
          <w:rFonts w:ascii="Times New Roman" w:hAnsi="Times New Roman"/>
          <w:b w:val="false"/>
          <w:i w:val="false"/>
          <w:color w:val="000000"/>
          <w:sz w:val="22"/>
        </w:rPr>
        <w:t>The office shall commence a rule-making proceeding within 60 days of its receipt of a petition for rule making seeking the amendment or repeal of a rule that differs from the proposed rule contained in the Notice of Intended Action upon which the rule is based, unless the office finds that the differences between the adopted rule and the proposed rule are so insubstantial as to make such a rule-making proceeding wholly unnecessary. A copy of any such finding and the petition to which it responds shall be sent to the petitioner, the administrative rules coordinator, and the administrative rules review committee, within three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w:t>
      </w:r>
      <w:r>
        <w:rPr>
          <w:rFonts w:ascii="Times New Roman" w:hAnsi="Times New Roman"/>
          <w:b w:val="false"/>
          <w:i w:val="false"/>
          <w:color w:val="000000"/>
          <w:sz w:val="22"/>
        </w:rPr>
        <w:t> </w:t>
      </w:r>
      <w:r>
        <w:rPr>
          <w:rFonts w:ascii="Times New Roman" w:hAnsi="Times New Roman"/>
          <w:b w:val="false"/>
          <w:i w:val="false"/>
          <w:color w:val="000000"/>
          <w:sz w:val="22"/>
        </w:rPr>
        <w:t>Concurrent rule-making proceedings. Nothing in this rule disturbs the discretion of the office to initiate, concurrently, several different rule-making proceedings on the same subject with several different published Notices of Intended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129—5.10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5.10(1)</w:t>
      </w:r>
      <w:r>
        <w:rPr>
          <w:rFonts w:ascii="Times New Roman" w:hAnsi="Times New Roman"/>
          <w:b w:val="false"/>
          <w:i w:val="false"/>
          <w:color w:val="000000"/>
          <w:sz w:val="22"/>
        </w:rPr>
        <w:t> </w:t>
      </w:r>
      <w:r>
        <w:rPr>
          <w:rFonts w:ascii="Times New Roman" w:hAnsi="Times New Roman"/>
          <w:b w:val="false"/>
          <w:i/>
          <w:color w:val="000000"/>
          <w:sz w:val="22"/>
        </w:rPr>
        <w:t xml:space="preserve">Omission of notice and comment. </w:t>
      </w:r>
      <w:r>
        <w:rPr>
          <w:rFonts w:ascii="Times New Roman" w:hAnsi="Times New Roman"/>
          <w:b w:val="false"/>
          <w:i w:val="false"/>
          <w:color w:val="000000"/>
          <w:sz w:val="22"/>
        </w:rPr>
        <w:t>When the statute so provides, or with the approval of the administrative rules review committee, if the committee finds good cause that public notice and participation are unnecessary, impracticable, or contrary to the public interest in the process of adopting a particular rule, the office may adopt that rule without publishing advance Notice of Intended Action in the Iowa Administrative Bulletin and without providing for written or oral public submissions prior to its adoption. The office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5.10(2)</w:t>
      </w:r>
      <w:r>
        <w:rPr>
          <w:rFonts w:ascii="Times New Roman" w:hAnsi="Times New Roman"/>
          <w:b w:val="false"/>
          <w:i w:val="false"/>
          <w:color w:val="000000"/>
          <w:sz w:val="22"/>
        </w:rPr>
        <w:t> </w:t>
      </w:r>
      <w:r>
        <w:rPr>
          <w:rFonts w:ascii="Times New Roman" w:hAnsi="Times New Roman"/>
          <w:b w:val="false"/>
          <w:i/>
          <w:color w:val="000000"/>
          <w:sz w:val="22"/>
        </w:rPr>
        <w:t xml:space="preserve">Categories exempt. </w:t>
      </w:r>
      <w:r>
        <w:rPr>
          <w:rFonts w:ascii="Times New Roman" w:hAnsi="Times New Roman"/>
          <w:b w:val="false"/>
          <w:i w:val="false"/>
          <w:color w:val="000000"/>
          <w:sz w:val="22"/>
        </w:rPr>
        <w:t>The following narrowly tailored categories of rules are exempted from the usual public notice and participation requirements because those requirements are unnecessary, impracticable, or contrary to the public interest with respect to each and every member of the defined class: rules mandated by either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5.10(3)</w:t>
      </w:r>
      <w:r>
        <w:rPr>
          <w:rFonts w:ascii="Times New Roman" w:hAnsi="Times New Roman"/>
          <w:b w:val="false"/>
          <w:i w:val="false"/>
          <w:color w:val="000000"/>
          <w:sz w:val="22"/>
        </w:rPr>
        <w:t> </w:t>
      </w:r>
      <w:r>
        <w:rPr>
          <w:rFonts w:ascii="Times New Roman" w:hAnsi="Times New Roman"/>
          <w:b w:val="false"/>
          <w:i/>
          <w:color w:val="000000"/>
          <w:sz w:val="22"/>
        </w:rPr>
        <w:t xml:space="preserve">Public proceedings on rules adopted without them. </w:t>
      </w:r>
      <w:r>
        <w:rPr>
          <w:rFonts w:ascii="Times New Roman" w:hAnsi="Times New Roman"/>
          <w:b w:val="false"/>
          <w:i w:val="false"/>
          <w:color w:val="000000"/>
          <w:sz w:val="22"/>
        </w:rPr>
        <w:t xml:space="preserve">The office may, at any time, commence a standard rule-making proceeding for the adoption of a rule that is identical or similar to a rule it adopts in reliance upon subrule </w:t>
      </w:r>
      <w:hyperlink r:id="rId22">
        <w:r>
          <w:rPr>
            <w:rStyle w:val="Hyperlink"/>
            <w:rFonts w:ascii="Times New Roman" w:hAnsi="Times New Roman"/>
            <w:b w:val="false"/>
            <w:i w:val="false"/>
            <w:color w:val="000000"/>
            <w:sz w:val="22"/>
          </w:rPr>
          <w:t>5.10(1)</w:t>
        </w:r>
      </w:hyperlink>
      <w:r>
        <w:rPr>
          <w:rFonts w:ascii="Times New Roman" w:hAnsi="Times New Roman"/>
          <w:b w:val="false"/>
          <w:i w:val="false"/>
          <w:color w:val="000000"/>
          <w:sz w:val="22"/>
        </w:rPr>
        <w:t xml:space="preserve">. Upon written petition by a governmental subdivision, the administrative rules review committee, an agency, the administrative rules coordinator, an association having not less than 25 members, or at least 25 persons, the office shall commence a standard rule-making proceeding for any rule specified in the petition that was adopted in reliance upon subrule </w:t>
      </w:r>
      <w:hyperlink r:id="rId23">
        <w:r>
          <w:rPr>
            <w:rStyle w:val="Hyperlink"/>
            <w:rFonts w:ascii="Times New Roman" w:hAnsi="Times New Roman"/>
            <w:b w:val="false"/>
            <w:i w:val="false"/>
            <w:color w:val="000000"/>
            <w:sz w:val="22"/>
          </w:rPr>
          <w:t>5.10(1)</w:t>
        </w:r>
      </w:hyperlink>
      <w:r>
        <w:rPr>
          <w:rFonts w:ascii="Times New Roman" w:hAnsi="Times New Roman"/>
          <w:b w:val="false"/>
          <w:i w:val="false"/>
          <w:color w:val="000000"/>
          <w:sz w:val="22"/>
        </w:rPr>
        <w:t xml:space="preserve">. Such a petition must be filed within one year of the publication of the specified rule in the Iowa Administrative Bulletin as an adopted rule. The rule-making proceeding on that rule must be commenced within 60 days of the receipt of such a petition. After a standard rule-making proceeding commenced pursuant to this subrule, the office may either readopt the rule it adopted without benefit of all usual procedures on the basis of subrule </w:t>
      </w:r>
      <w:hyperlink r:id="rId24">
        <w:r>
          <w:rPr>
            <w:rStyle w:val="Hyperlink"/>
            <w:rFonts w:ascii="Times New Roman" w:hAnsi="Times New Roman"/>
            <w:b w:val="false"/>
            <w:i w:val="false"/>
            <w:color w:val="000000"/>
            <w:sz w:val="22"/>
          </w:rPr>
          <w:t>5.10(1)</w:t>
        </w:r>
      </w:hyperlink>
      <w:r>
        <w:rPr>
          <w:rFonts w:ascii="Times New Roman" w:hAnsi="Times New Roman"/>
          <w:b w:val="false"/>
          <w:i w:val="false"/>
          <w:color w:val="000000"/>
          <w:sz w:val="22"/>
        </w:rPr>
        <w:t>, or may take any other lawful action, including the amendment or repeal of the rule in question, with whatever further proceedings are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129—5.11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When requested by a person, either prior to the adoption of a rule or within 30 days after its publication in the Iowa Administrative Bulletin as an adopted rule, the office shall issue a concise statement of reasons for the rule. Requests for such a statement must be in writing and be delivered to Office of the Chief Information Officer, c/o Business Services Division, Hoover State Office Building, Level B, 1305 East Walnut Street, Des Moines, Iowa 50319. The request should indicate whether the statement is sought for all or only a specified part of the rule. Requests will be considered made on the date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concise statement of reasons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reasons for adopting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indication of any change between the text of the proposed rule contained in the published Notice of Intended Action and the text of the rule as finally adopted, with the reasons for any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reasons urged in the rule-making proceeding for and against the rule, and the office’s reasons for overruling the arguments made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w:t>
      </w:r>
      <w:r>
        <w:rPr>
          <w:rFonts w:ascii="Times New Roman" w:hAnsi="Times New Roman"/>
          <w:b w:val="false"/>
          <w:i w:val="false"/>
          <w:color w:val="000000"/>
          <w:sz w:val="22"/>
        </w:rPr>
        <w:t> </w:t>
      </w:r>
      <w:r>
        <w:rPr>
          <w:rFonts w:ascii="Times New Roman" w:hAnsi="Times New Roman"/>
          <w:b w:val="false"/>
          <w:i/>
          <w:color w:val="000000"/>
          <w:sz w:val="22"/>
        </w:rPr>
        <w:t xml:space="preserve">Time of issuance. </w:t>
      </w:r>
      <w:r>
        <w:rPr>
          <w:rFonts w:ascii="Times New Roman" w:hAnsi="Times New Roman"/>
          <w:b w:val="false"/>
          <w:i w:val="false"/>
          <w:color w:val="000000"/>
          <w:sz w:val="22"/>
        </w:rPr>
        <w:t>After a proper request, the office shall issue a concise statement of reasons by the later of the time the rule is adopted or 35 days after receipt of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129—5.12</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rule adopted by the office shall contain the text of the rule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office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rule-making action if such reasons are required by Iowa Code section </w:t>
      </w:r>
      <w:hyperlink r:id="rId25">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xml:space="preserve"> or the office in its discretion decides to include such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repealed, amended, or suspended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findings required by any provision of law as a prerequisite to adoption or effectiveness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failure to provide for waivers to the rule if no waiver provision is included and a brief explanation of any waiver or special exceptions provided in the rule if such reasons are required by Iowa Code section </w:t>
      </w:r>
      <w:hyperlink r:id="rId26">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xml:space="preserve"> or the office in its discretion decides to include such reasons;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The office may incorporate by reference in a proposed or adopted rule, and without causing publication of the incorporated matter in full, all or any part of a code, standard, rule, or other matter if the office finds that the incorporation of such matter in the office’s proposed or adopted rule would be unduly cumbersome, expensive, or otherwise inexpedient. The reference in the office’s proposed or adopted rule shall fully and precisely identify the incorporated matter by location, title, citation, date, and edition, if any; shall briefly indicate the precise subject and the general contents of the incorporated matter; and shall state that the proposed or adopted rule does not include any later amendments or editions of the incorporated matter. The office may incorporate such matter by reference in a proposed or adopted rule only if the office makes copies of such matter readily available to the public. The rule shall state how and where copies of the incorporated matter may be obtained at cost from the office, and how and where copies may be obtained from the agency of the United States, this state, another state, or the organization, association, or persons, originally issuing that matter. The office shall retain permanently a copy of any materials incorporated by reference in a rule of the office.</w:t>
      </w:r>
    </w:p>
    <w:p>
      <w:pPr>
        <w:spacing w:before="0" w:after="0"/>
        <w:ind w:left="120"/>
        <w:jc w:val="both"/>
      </w:pPr>
      <w:r>
        <w:rPr>
          <w:rFonts w:ascii="Times New Roman" w:hAnsi="Times New Roman"/>
          <w:b w:val="false"/>
          <w:i w:val="false"/>
          <w:color w:val="000000"/>
          <w:sz w:val="22"/>
        </w:rPr>
        <w:t>If the office adopts standards by reference to another publication, it shall deliver an electronic copy of the publication, or the relevant part of the publication, containing the standards to the administrative code editor who shall publish it on the general assembly’s Internet site. If an electronic copy of the publication is not available, the office shall deliver a printed copy of the publication to the administrative code editor who shall deposit the copy in the state law library where it shall be made available for inspection and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w:t>
      </w:r>
      <w:r>
        <w:rPr>
          <w:rFonts w:ascii="Times New Roman" w:hAnsi="Times New Roman"/>
          <w:b w:val="false"/>
          <w:i w:val="false"/>
          <w:color w:val="000000"/>
          <w:sz w:val="22"/>
        </w:rPr>
        <w:t> </w:t>
      </w:r>
      <w:r>
        <w:rPr>
          <w:rFonts w:ascii="Times New Roman" w:hAnsi="Times New Roman"/>
          <w:b w:val="false"/>
          <w:i/>
          <w:color w:val="000000"/>
          <w:sz w:val="22"/>
        </w:rPr>
        <w:t xml:space="preserve">References to materials not published in full. </w:t>
      </w:r>
      <w:r>
        <w:rPr>
          <w:rFonts w:ascii="Times New Roman" w:hAnsi="Times New Roman"/>
          <w:b w:val="false"/>
          <w:i w:val="false"/>
          <w:color w:val="000000"/>
          <w:sz w:val="22"/>
        </w:rPr>
        <w:t>When the administrative code editor decides to omit the full text of a proposed or adopted rule because publication of the full text would be unduly cumbersome, expensive, or otherwise inexpedient, the office shall prepare and submit to the administrative code editor for inclusion in the Iowa Administrative Bulletin and Iowa Administrative Code a summary statement describing the specific subject matter of the omitted material. This summary statement shall include the title and a brief description sufficient to inform the public of the specific nature and subject matter of the proposed or adopted rules, and of significant issues involved in these rules. The summary statement shall also describe how a copy of the full text of the proposed or adopted rule, including any unpublished matter and any matter incorporated by reference, may be obtained from the office. The office will provide a copy of that full text (at actual cost) upon request and shall make copies of the full text available for review at the state law library and may make the standards available electronically.</w:t>
      </w:r>
    </w:p>
    <w:p>
      <w:pPr>
        <w:spacing w:before="0" w:after="0"/>
        <w:ind w:left="120"/>
        <w:jc w:val="both"/>
      </w:pPr>
      <w:r>
        <w:rPr>
          <w:rFonts w:ascii="Times New Roman" w:hAnsi="Times New Roman"/>
          <w:b w:val="false"/>
          <w:i w:val="false"/>
          <w:color w:val="000000"/>
          <w:sz w:val="22"/>
        </w:rPr>
        <w:t>At the request of the administrative code editor, the office shall provide a proposed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5.12(4)</w:t>
      </w:r>
      <w:r>
        <w:rPr>
          <w:rFonts w:ascii="Times New Roman" w:hAnsi="Times New Roman"/>
          <w:b w:val="false"/>
          <w:i w:val="false"/>
          <w:color w:val="000000"/>
          <w:sz w:val="22"/>
        </w:rPr>
        <w:t> </w:t>
      </w:r>
      <w:r>
        <w:rPr>
          <w:rFonts w:ascii="Times New Roman" w:hAnsi="Times New Roman"/>
          <w:b w:val="false"/>
          <w:i/>
          <w:color w:val="000000"/>
          <w:sz w:val="22"/>
        </w:rPr>
        <w:t xml:space="preserve">Style and form. </w:t>
      </w:r>
      <w:r>
        <w:rPr>
          <w:rFonts w:ascii="Times New Roman" w:hAnsi="Times New Roman"/>
          <w:b w:val="false"/>
          <w:i w:val="false"/>
          <w:color w:val="000000"/>
          <w:sz w:val="22"/>
        </w:rPr>
        <w:t>In preparing its rules, the office shall follow the uniform numbering system, form, and style prescribed by the administrative rules coordinator.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129—5.13</w:t>
      </w:r>
      <w:r>
        <w:rPr>
          <w:rFonts w:ascii="Times New Roman" w:hAnsi="Times New Roman"/>
          <w:b/>
          <w:i w:val="false"/>
          <w:color w:val="000000"/>
          <w:sz w:val="22"/>
        </w:rPr>
        <w:t xml:space="preserve">(17A) </w:t>
      </w:r>
      <w:r>
        <w:rPr>
          <w:rFonts w:ascii="Times New Roman" w:hAnsi="Times New Roman"/>
          <w:b/>
          <w:i w:val="false"/>
          <w:color w:val="000000"/>
          <w:sz w:val="22"/>
        </w:rPr>
        <w:t xml:space="preserve">Office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The office shall maintain an official rule-making record for each rule it proposes or adopts by publication in the Iowa Administrative Bulletin of a Notice of Intended Action. The rule-making record and materials incorporated by reference must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office rule-making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publications in the Iowa Administrative Bulletin with respect to the rule or the proceeding upon which the rule is based and any file-stamped copies of submissions to the administrative rules coordinator concerning that rule or the proceeding upon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any portions of the office’s public rule-making docket containing entries relating to the rule 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written petitions, requests, and submissions received by the office, and all other written materials of a factual nature and distinguished from opinion that are relevant to the merits of the rule and that were created or compiled by the office and considered by the CIO, in connection with the formulation, proposal, or adoption of the rule or the proceeding upon which the rule is based, except to the extent the office is authorized by law to keep them confidential; provided, however, that when any such materials are deleted because they are authorized by law to be kept confidential, the office shall identify in the record the particular materials deleted and state the reasons for that deletion;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official transcript of oral presentations made in the proceeding upon which the rule is based or, if not transcribed, the stenographic record or electronic recording of those presentations, and any memorandum prepared by a presiding officer summarizing the contents of those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any regulatory analysis or fiscal impact statement prepared for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rule and any concise statement of reasons prepared for that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petitions for amendment or repeal or suspension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issuance of that rule without public notice and participation that was filed pursuant to Iowa Code section </w:t>
      </w:r>
      <w:hyperlink r:id="rId27">
        <w:r>
          <w:rPr>
            <w:rStyle w:val="Hyperlink"/>
            <w:rFonts w:ascii="Times New Roman" w:hAnsi="Times New Roman"/>
            <w:b w:val="false"/>
            <w:i w:val="false"/>
            <w:color w:val="000000"/>
            <w:sz w:val="22"/>
          </w:rPr>
          <w:t>17A.4(3)</w:t>
        </w:r>
      </w:hyperlink>
      <w:r>
        <w:rPr>
          <w:rFonts w:ascii="Times New Roman" w:hAnsi="Times New Roman"/>
          <w:b w:val="false"/>
          <w:i w:val="false"/>
          <w:color w:val="000000"/>
          <w:sz w:val="22"/>
        </w:rPr>
        <w:t xml:space="preserve"> by the administrative rules review committee, the governor, or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rule filed by the administrative rules review committee, the governor, or the attorney general pursuant to Iowa Code section </w:t>
      </w:r>
      <w:hyperlink r:id="rId28">
        <w:r>
          <w:rPr>
            <w:rStyle w:val="Hyperlink"/>
            <w:rFonts w:ascii="Times New Roman" w:hAnsi="Times New Roman"/>
            <w:b w:val="false"/>
            <w:i w:val="false"/>
            <w:color w:val="000000"/>
            <w:sz w:val="22"/>
          </w:rPr>
          <w:t>17A.4(6)</w:t>
        </w:r>
      </w:hyperlink>
      <w:r>
        <w:rPr>
          <w:rFonts w:ascii="Times New Roman" w:hAnsi="Times New Roman"/>
          <w:b w:val="false"/>
          <w:i w:val="false"/>
          <w:color w:val="000000"/>
          <w:sz w:val="22"/>
        </w:rPr>
        <w:t>, and any office response to that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copy of any significant written criticism of the rule, including a summary of any petitions for waiver of the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copy of any executive order concerning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5.13(3)</w:t>
      </w:r>
      <w:r>
        <w:rPr>
          <w:rFonts w:ascii="Times New Roman" w:hAnsi="Times New Roman"/>
          <w:b w:val="false"/>
          <w:i w:val="false"/>
          <w:color w:val="000000"/>
          <w:sz w:val="22"/>
        </w:rPr>
        <w:t> </w:t>
      </w:r>
      <w:r>
        <w:rPr>
          <w:rFonts w:ascii="Times New Roman" w:hAnsi="Times New Roman"/>
          <w:b w:val="false"/>
          <w:i/>
          <w:color w:val="000000"/>
          <w:sz w:val="22"/>
        </w:rPr>
        <w:t xml:space="preserve">Effect of record. </w:t>
      </w:r>
      <w:r>
        <w:rPr>
          <w:rFonts w:ascii="Times New Roman" w:hAnsi="Times New Roman"/>
          <w:b w:val="false"/>
          <w:i w:val="false"/>
          <w:color w:val="000000"/>
          <w:sz w:val="22"/>
        </w:rPr>
        <w:t>Except as otherwise required by a provision of law, the office rule-making record required by this rule need not constitute the exclusive basis for office action on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 </w:t>
      </w:r>
      <w:r>
        <w:rPr>
          <w:rFonts w:ascii="Times New Roman" w:hAnsi="Times New Roman"/>
          <w:b w:val="false"/>
          <w:i w:val="false"/>
          <w:color w:val="000000"/>
          <w:sz w:val="22"/>
        </w:rPr>
        <w:t xml:space="preserve">The office shall maintain the rule-making record for a period of not less than five years from the later of the date the rule to which it pertains became effective, the date of the Notice of Intended Action, or the date of any written criticism as described in paragraph </w:t>
      </w:r>
      <w:hyperlink r:id="rId29">
        <w:r>
          <w:rPr>
            <w:rStyle w:val="Hyperlink"/>
            <w:rFonts w:ascii="Times New Roman" w:hAnsi="Times New Roman"/>
            <w:b w:val="false"/>
            <w:i w:val="false"/>
            <w:color w:val="000000"/>
            <w:sz w:val="22"/>
          </w:rPr>
          <w:t>5.13(2)</w:t>
        </w:r>
        <w:r>
          <w:rPr>
            <w:rFonts w:ascii="Times New Roman" w:hAnsi="Times New Roman"/>
            <w:b w:val="false"/>
            <w:i/>
            <w:color w:val="000000"/>
            <w:sz w:val="22"/>
          </w:rPr>
          <w:t>“g,” “h,” “i,”</w:t>
        </w:r>
        <w:r>
          <w:rPr>
            <w:rFonts w:ascii="Times New Roman" w:hAnsi="Times New Roman"/>
            <w:b w:val="false"/>
            <w:i w:val="false"/>
            <w:color w:val="000000"/>
            <w:sz w:val="22"/>
          </w:rPr>
          <w:t xml:space="preserve"> or </w:t>
        </w:r>
        <w:r>
          <w:rPr>
            <w:rFonts w:ascii="Times New Roman" w:hAnsi="Times New Roman"/>
            <w:b w:val="false"/>
            <w:i/>
            <w:color w:val="000000"/>
            <w:sz w:val="22"/>
          </w:rPr>
          <w:t>“j.”</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129—5.14</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rules. </w:t>
      </w:r>
      <w:r>
        <w:rPr>
          <w:rFonts w:ascii="Times New Roman" w:hAnsi="Times New Roman"/>
          <w:b w:val="false"/>
          <w:i w:val="false"/>
          <w:color w:val="000000"/>
          <w:sz w:val="22"/>
        </w:rPr>
        <w:t>The office shall file each rule it adopts in the office of the administrative rules coordinator. The filing must be executed as soon after adoption of the rule as is practicable. At the time of filing, each rule must have attached to it any fiscal impact statement and any concise statement of reasons that were issued with respect to that rule. If a fiscal impact statement or statement of reasons for that rule was not issued until a time subsequent to the filing of that rule, the note or statement must be attached to the filed rule within five working days after the note or statement is issued. In filing a rule, the office shall use the standard form prescribed by the administrative rules coordinator.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129—5.15</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Effectiveness of rules prior to publication.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office may make a rule effective after its filing at any stated time prior to 35 days after its indexing and publication in the Iowa Administrative Bulletin if it finds that a statute so provides, the rule confers a benefit or removes a restriction on some segment of the public, or that the effective date of the rule is necessary to avoid imminent peril to the public health, safety, or welfare. The office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5.15(2)</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office makes a rule effective prior to its indexing and publication in reliance upon the provisions of Iowa Code section </w:t>
      </w:r>
      <w:hyperlink r:id="rId30">
        <w:r>
          <w:rPr>
            <w:rStyle w:val="Hyperlink"/>
            <w:rFonts w:ascii="Times New Roman" w:hAnsi="Times New Roman"/>
            <w:b w:val="false"/>
            <w:i w:val="false"/>
            <w:color w:val="000000"/>
            <w:sz w:val="22"/>
          </w:rPr>
          <w:t>17A.5(2)</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office shall employ all reasonable efforts to make the rule’s contents known to the persons who may be affected by that rule prior to the rule’s indexing and publication. The term “all reasonable efforts” requires the office to employ the most effective and prompt means of notice rationally calculated to inform potentially affected parties of the effectiveness of the rule that is justified and practical under the circumstances considering the various alternatives available for this purpose, the comparative costs to the office of utilizing each of those alternatives, and the harm suffered by affected persons from any lack of notice concerning the contents of the rule prior to its indexing and publication. The means that may be used for providing notice of such rules prior to their indexing and publication include, but are not limited to, any one or more of the following means: radio, newspaper, television, signs, mail, telephone, personal notices or electronic means.</w:t>
      </w:r>
    </w:p>
    <w:p>
      <w:pPr>
        <w:spacing w:before="0" w:after="0"/>
        <w:ind w:left="120"/>
        <w:jc w:val="both"/>
      </w:pPr>
      <w:r>
        <w:rPr>
          <w:rFonts w:ascii="Times New Roman" w:hAnsi="Times New Roman"/>
          <w:b w:val="false"/>
          <w:i w:val="false"/>
          <w:color w:val="000000"/>
          <w:sz w:val="22"/>
        </w:rPr>
        <w:t xml:space="preserve">A rule made effective prior to its indexing and publication in reliance upon the provisions of Iowa Code section </w:t>
      </w:r>
      <w:hyperlink r:id="rId31">
        <w:r>
          <w:rPr>
            <w:rStyle w:val="Hyperlink"/>
            <w:rFonts w:ascii="Times New Roman" w:hAnsi="Times New Roman"/>
            <w:b w:val="false"/>
            <w:i w:val="false"/>
            <w:color w:val="000000"/>
            <w:sz w:val="22"/>
          </w:rPr>
          <w:t>17A.5(2)</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include in that rule a statement describing the reasonable efforts that will be used to comply with the requirements of subrule </w:t>
      </w:r>
      <w:hyperlink r:id="rId32">
        <w:r>
          <w:rPr>
            <w:rStyle w:val="Hyperlink"/>
            <w:rFonts w:ascii="Times New Roman" w:hAnsi="Times New Roman"/>
            <w:b w:val="false"/>
            <w:i w:val="false"/>
            <w:color w:val="000000"/>
            <w:sz w:val="22"/>
          </w:rPr>
          <w:t>5.15(2)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129—5.16</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statements of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5.16(1)</w:t>
      </w:r>
      <w:r>
        <w:rPr>
          <w:rFonts w:ascii="Times New Roman" w:hAnsi="Times New Roman"/>
          <w:b w:val="false"/>
          <w:i w:val="false"/>
          <w:color w:val="000000"/>
          <w:sz w:val="22"/>
        </w:rPr>
        <w:t> </w:t>
      </w:r>
      <w:r>
        <w:rPr>
          <w:rFonts w:ascii="Times New Roman" w:hAnsi="Times New Roman"/>
          <w:b w:val="false"/>
          <w:i/>
          <w:color w:val="000000"/>
          <w:sz w:val="22"/>
        </w:rPr>
        <w:t xml:space="preserve">Compilation, indexing, public inspection. </w:t>
      </w:r>
      <w:r>
        <w:rPr>
          <w:rFonts w:ascii="Times New Roman" w:hAnsi="Times New Roman"/>
          <w:b w:val="false"/>
          <w:i w:val="false"/>
          <w:color w:val="000000"/>
          <w:sz w:val="22"/>
        </w:rPr>
        <w:t xml:space="preserve">The office shall maintain an official, current, and dated compilation that is indexed by subject, containing all of its general statements of policy within the scope of Iowa Code section </w:t>
      </w:r>
      <w:hyperlink r:id="rId33">
        <w:r>
          <w:rPr>
            <w:rStyle w:val="Hyperlink"/>
            <w:rFonts w:ascii="Times New Roman" w:hAnsi="Times New Roman"/>
            <w:b w:val="false"/>
            <w:i w:val="false"/>
            <w:color w:val="000000"/>
            <w:sz w:val="22"/>
          </w:rPr>
          <w:t>17A.2(11)</w:t>
        </w:r>
        <w:r>
          <w:rPr>
            <w:rFonts w:ascii="Times New Roman" w:hAnsi="Times New Roman"/>
            <w:b w:val="false"/>
            <w:i/>
            <w:color w:val="000000"/>
            <w:sz w:val="22"/>
          </w:rPr>
          <w:t>“a,” “c,” “f,” “g,” “h,” “k.”</w:t>
        </w:r>
      </w:hyperlink>
      <w:r>
        <w:rPr>
          <w:rFonts w:ascii="Times New Roman" w:hAnsi="Times New Roman"/>
          <w:b w:val="false"/>
          <w:i w:val="false"/>
          <w:color w:val="000000"/>
          <w:sz w:val="22"/>
        </w:rPr>
        <w:t xml:space="preserve"> Each addition to, change in, or deletion from the official compilation must also be dated and indexed and a record thereof kept. Except for those portions containing rules governed by Iowa Code section </w:t>
      </w:r>
      <w:hyperlink r:id="rId34">
        <w:r>
          <w:rPr>
            <w:rStyle w:val="Hyperlink"/>
            <w:rFonts w:ascii="Times New Roman" w:hAnsi="Times New Roman"/>
            <w:b w:val="false"/>
            <w:i w:val="false"/>
            <w:color w:val="000000"/>
            <w:sz w:val="22"/>
          </w:rPr>
          <w:t>17A.2(11)</w:t>
        </w:r>
        <w:r>
          <w:rPr>
            <w:rFonts w:ascii="Times New Roman" w:hAnsi="Times New Roman"/>
            <w:b w:val="false"/>
            <w:i/>
            <w:color w:val="000000"/>
            <w:sz w:val="22"/>
          </w:rPr>
          <w:t>“f,”</w:t>
        </w:r>
      </w:hyperlink>
      <w:r>
        <w:rPr>
          <w:rFonts w:ascii="Times New Roman" w:hAnsi="Times New Roman"/>
          <w:b w:val="false"/>
          <w:i w:val="false"/>
          <w:color w:val="000000"/>
          <w:sz w:val="22"/>
        </w:rPr>
        <w:t xml:space="preserve"> or otherwise authorized by law to be kept confidential, the compilation must be made available for public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5.16(2)</w:t>
      </w:r>
      <w:r>
        <w:rPr>
          <w:rFonts w:ascii="Times New Roman" w:hAnsi="Times New Roman"/>
          <w:b w:val="false"/>
          <w:i w:val="false"/>
          <w:color w:val="000000"/>
          <w:sz w:val="22"/>
        </w:rPr>
        <w:t> </w:t>
      </w:r>
      <w:r>
        <w:rPr>
          <w:rFonts w:ascii="Times New Roman" w:hAnsi="Times New Roman"/>
          <w:b w:val="false"/>
          <w:i/>
          <w:color w:val="000000"/>
          <w:sz w:val="22"/>
        </w:rPr>
        <w:t xml:space="preserve">Enforcement of requirements. </w:t>
      </w:r>
      <w:r>
        <w:rPr>
          <w:rFonts w:ascii="Times New Roman" w:hAnsi="Times New Roman"/>
          <w:b w:val="false"/>
          <w:i w:val="false"/>
          <w:color w:val="000000"/>
          <w:sz w:val="22"/>
        </w:rPr>
        <w:t xml:space="preserve">A general statement of policy subject to the requirements of this rule shall not be relied on by the office to the detriment of any person who does not have actual, timely knowledge of the contents of the statement until the requirements of subrule </w:t>
      </w:r>
      <w:hyperlink r:id="rId35">
        <w:r>
          <w:rPr>
            <w:rStyle w:val="Hyperlink"/>
            <w:rFonts w:ascii="Times New Roman" w:hAnsi="Times New Roman"/>
            <w:b w:val="false"/>
            <w:i w:val="false"/>
            <w:color w:val="000000"/>
            <w:sz w:val="22"/>
          </w:rPr>
          <w:t>5.16(1)</w:t>
        </w:r>
      </w:hyperlink>
      <w:r>
        <w:rPr>
          <w:rFonts w:ascii="Times New Roman" w:hAnsi="Times New Roman"/>
          <w:b w:val="false"/>
          <w:i w:val="false"/>
          <w:color w:val="000000"/>
          <w:sz w:val="22"/>
        </w:rPr>
        <w:t xml:space="preserve"> are satisfied. This provision is inapplicable to the extent necessary to avoid imminent peril to the public health, safety, or welfare.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129—5.17</w:t>
      </w:r>
      <w:r>
        <w:rPr>
          <w:rFonts w:ascii="Times New Roman" w:hAnsi="Times New Roman"/>
          <w:b/>
          <w:i w:val="false"/>
          <w:color w:val="000000"/>
          <w:sz w:val="22"/>
        </w:rPr>
        <w:t xml:space="preserve">(17A) </w:t>
      </w:r>
      <w:r>
        <w:rPr>
          <w:rFonts w:ascii="Times New Roman" w:hAnsi="Times New Roman"/>
          <w:b/>
          <w:i w:val="false"/>
          <w:color w:val="000000"/>
          <w:sz w:val="22"/>
        </w:rPr>
        <w:t xml:space="preserve">Review by office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5.17(1)</w:t>
      </w:r>
      <w:r>
        <w:rPr>
          <w:rFonts w:ascii="Times New Roman" w:hAnsi="Times New Roman"/>
          <w:b w:val="false"/>
          <w:i w:val="false"/>
          <w:color w:val="000000"/>
          <w:sz w:val="22"/>
        </w:rPr>
        <w:t> </w:t>
      </w:r>
      <w:r>
        <w:rPr>
          <w:rFonts w:ascii="Times New Roman" w:hAnsi="Times New Roman"/>
          <w:b w:val="false"/>
          <w:i w:val="false"/>
          <w:color w:val="000000"/>
          <w:sz w:val="22"/>
        </w:rPr>
        <w:t>Any interested person, association, agency, or political subdivision may submit a written request to the administrative rules coordinator requesting the office to conduct a formal review of a specified rule. Upon approval of that request by the administrative rules coordinator, the office shall conduct a formal review of a specified rule to determine whether a new rule should be adopted instead or whether the rule should be amended or repealed. The office may refuse to conduct a review if it has conducted such a review of the specified rule within five years prior to the filing of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5.17(2)</w:t>
      </w:r>
      <w:r>
        <w:rPr>
          <w:rFonts w:ascii="Times New Roman" w:hAnsi="Times New Roman"/>
          <w:b w:val="false"/>
          <w:i w:val="false"/>
          <w:color w:val="000000"/>
          <w:sz w:val="22"/>
        </w:rPr>
        <w:t> </w:t>
      </w:r>
      <w:r>
        <w:rPr>
          <w:rFonts w:ascii="Times New Roman" w:hAnsi="Times New Roman"/>
          <w:b w:val="false"/>
          <w:i w:val="false"/>
          <w:color w:val="000000"/>
          <w:sz w:val="22"/>
        </w:rPr>
        <w:t>In conducting the formal review, the office shall prepare within a reasonable time a written report summarizing its findings, its supporting reasons, and any proposed course of action. The report must include a concise statement of the office’s findings regarding the rule’s effectiveness in achieving its objectives, including a summary of any available supporting data. The report shall also concisely describe significant written criticisms of the rule received during the previous five years, including a summary of any petitions for waiver of the rule received by the office or granted by the office. The report shall describe alternative solutions to resolve the criticisms of the rule, the reasons any were rejected, and any changes made in the rule in response to the criticisms as well as the reasons for the changes. A copy of the office’s report shall be sent to the administrative rules review committee and the administrative rules coordinator. The report must also be available for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2542C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6">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2542C</w:t>
      </w:r>
      <w:r>
        <w:rPr>
          <w:rFonts w:ascii="Times New Roman" w:hAnsi="Times New Roman"/>
          <w:b w:val="false"/>
          <w:i w:val="false"/>
          <w:color w:val="000000"/>
          <w:sz w:val="21"/>
        </w:rPr>
        <w:t xml:space="preserve"> (Notice ARC 2421C, IAB 3/2/16)</w:t>
      </w:r>
      <w:r>
        <w:rPr>
          <w:rFonts w:ascii="Times New Roman" w:hAnsi="Times New Roman"/>
          <w:b w:val="false"/>
          <w:i w:val="false"/>
          <w:color w:val="000000"/>
          <w:sz w:val="21"/>
        </w:rPr>
        <w:t>, IAB 5/25/16, effective 6/29/16]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17A.4.pdf" Type="http://schemas.openxmlformats.org/officeDocument/2006/relationships/hyperlink" Id="rId7"/>
    <Relationship TargetMode="External" Target="https://www.legis.iowa.gov/docs/ico/chapter/17A.4.pdf" Type="http://schemas.openxmlformats.org/officeDocument/2006/relationships/hyperlink" Id="rId8"/>
    <Relationship TargetMode="External" Target="https://www.legis.iowa.gov/docs/iac/rule/129.5.12.pdf" Type="http://schemas.openxmlformats.org/officeDocument/2006/relationships/hyperlink" Id="rId9"/>
    <Relationship TargetMode="External" Target="https://www.legis.iowa.gov/docs/ico/chapter/17A.4.pdf" Type="http://schemas.openxmlformats.org/officeDocument/2006/relationships/hyperlink" Id="rId10"/>
    <Relationship TargetMode="External" Target="https://www.legis.iowa.gov/docs/ico/chapter/17A.4A.pdf" Type="http://schemas.openxmlformats.org/officeDocument/2006/relationships/hyperlink" Id="rId11"/>
    <Relationship TargetMode="External" Target="https://www.legis.iowa.gov/docs/ico/chapter/17A.4.pdf" Type="http://schemas.openxmlformats.org/officeDocument/2006/relationships/hyperlink" Id="rId12"/>
    <Relationship TargetMode="External" Target="https://www.legis.iowa.gov/docs/ico/chapter/17A.4A.pdf" Type="http://schemas.openxmlformats.org/officeDocument/2006/relationships/hyperlink" Id="rId13"/>
    <Relationship TargetMode="External" Target="https://www.legis.iowa.gov/docs/ico/chapter/17A.4A.pdf" Type="http://schemas.openxmlformats.org/officeDocument/2006/relationships/hyperlink" Id="rId14"/>
    <Relationship TargetMode="External" Target="https://www.legis.iowa.gov/docs/ico/chapter/17A.4A.pdf" Type="http://schemas.openxmlformats.org/officeDocument/2006/relationships/hyperlink" Id="rId15"/>
    <Relationship TargetMode="External" Target="https://www.legis.iowa.gov/docs/ico/chapter/17A.4A.pdf" Type="http://schemas.openxmlformats.org/officeDocument/2006/relationships/hyperlink" Id="rId16"/>
    <Relationship TargetMode="External" Target="https://www.legis.iowa.gov/docs/ico/chapter/17A.4A.pdf" Type="http://schemas.openxmlformats.org/officeDocument/2006/relationships/hyperlink" Id="rId17"/>
    <Relationship TargetMode="External" Target="https://www.legis.iowa.gov/docs/ico/chapter/17A.4A.pdf" Type="http://schemas.openxmlformats.org/officeDocument/2006/relationships/hyperlink" Id="rId18"/>
    <Relationship TargetMode="External" Target="https://www.legis.iowa.gov/docs/ico/chapter/17A.4A.pdf" Type="http://schemas.openxmlformats.org/officeDocument/2006/relationships/hyperlink" Id="rId19"/>
    <Relationship TargetMode="External" Target="https://www.legis.iowa.gov/docs/ico/chapter/17A.4A.pdf" Type="http://schemas.openxmlformats.org/officeDocument/2006/relationships/hyperlink" Id="rId20"/>
    <Relationship TargetMode="External" Target="https://www.legis.iowa.gov/docs/ico/chapter/25B.5.pdf" Type="http://schemas.openxmlformats.org/officeDocument/2006/relationships/hyperlink" Id="rId21"/>
    <Relationship TargetMode="External" Target="https://www.legis.iowa.gov/docs/iac/rule/129.5.10.pdf" Type="http://schemas.openxmlformats.org/officeDocument/2006/relationships/hyperlink" Id="rId22"/>
    <Relationship TargetMode="External" Target="https://www.legis.iowa.gov/docs/iac/rule/129.5.10.pdf" Type="http://schemas.openxmlformats.org/officeDocument/2006/relationships/hyperlink" Id="rId23"/>
    <Relationship TargetMode="External" Target="https://www.legis.iowa.gov/docs/iac/rule/129.5.10.pdf" Type="http://schemas.openxmlformats.org/officeDocument/2006/relationships/hyperlink" Id="rId24"/>
    <Relationship TargetMode="External" Target="https://www.legis.iowa.gov/docs/ico/chapter/17A.4.pdf" Type="http://schemas.openxmlformats.org/officeDocument/2006/relationships/hyperlink" Id="rId25"/>
    <Relationship TargetMode="External" Target="https://www.legis.iowa.gov/docs/ico/chapter/17A.4.pdf" Type="http://schemas.openxmlformats.org/officeDocument/2006/relationships/hyperlink" Id="rId26"/>
    <Relationship TargetMode="External" Target="https://www.legis.iowa.gov/docs/ico/chapter/17A.4.pdf" Type="http://schemas.openxmlformats.org/officeDocument/2006/relationships/hyperlink" Id="rId27"/>
    <Relationship TargetMode="External" Target="https://www.legis.iowa.gov/docs/ico/chapter/17A.4.pdf" Type="http://schemas.openxmlformats.org/officeDocument/2006/relationships/hyperlink" Id="rId28"/>
    <Relationship TargetMode="External" Target="https://www.legis.iowa.gov/docs/iac/rule/129.5.13.pdf" Type="http://schemas.openxmlformats.org/officeDocument/2006/relationships/hyperlink" Id="rId29"/>
    <Relationship TargetMode="External" Target="https://www.legis.iowa.gov/docs/ico/chapter/17A.5.pdf" Type="http://schemas.openxmlformats.org/officeDocument/2006/relationships/hyperlink" Id="rId30"/>
    <Relationship TargetMode="External" Target="https://www.legis.iowa.gov/docs/ico/chapter/17A.5.pdf" Type="http://schemas.openxmlformats.org/officeDocument/2006/relationships/hyperlink" Id="rId31"/>
    <Relationship TargetMode="External" Target="https://www.legis.iowa.gov/docs/iac/rule/129.5.15.pdf" Type="http://schemas.openxmlformats.org/officeDocument/2006/relationships/hyperlink" Id="rId32"/>
    <Relationship TargetMode="External" Target="https://www.legis.iowa.gov/docs/ico/chapter/17A.2.pdf" Type="http://schemas.openxmlformats.org/officeDocument/2006/relationships/hyperlink" Id="rId33"/>
    <Relationship TargetMode="External" Target="https://www.legis.iowa.gov/docs/ico/chapter/17A.2.pdf" Type="http://schemas.openxmlformats.org/officeDocument/2006/relationships/hyperlink" Id="rId34"/>
    <Relationship TargetMode="External" Target="https://www.legis.iowa.gov/docs/iac/rule/129.5.16.pdf" Type="http://schemas.openxmlformats.org/officeDocument/2006/relationships/hyperlink" Id="rId35"/>
    <Relationship TargetMode="External" Target="https://www.legis.iowa.gov/docs/ico/chapter/8B.pdf" Type="http://schemas.openxmlformats.org/officeDocument/2006/relationships/hyperlink" Id="rId36"/>
    <Relationship TargetMode="External" Target="https://www.legis.iowa.gov/docs/ico/chapter/17A.pdf" Type="http://schemas.openxmlformats.org/officeDocument/2006/relationships/hyperlink"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