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PETITIONS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129—3.1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Any person, other state agency, or board may file a petition for rule making with the office of the chief information officer at Office of the Chief Information Officer, Hoover State Office Building, Level B, 1305 East Walnut Street, Des Moines, Iowa 50319. A petition is deemed filed when it is received by the office. The office shall provide the petitioner with a file-stamped copy of the petition if the petitioner provides the office an extra copy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OFFICE OF THE CHIEF INFORMATION OFFICER</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the (adoption, amendment, or repeal)</w:t>
            </w:r>
          </w:p>
          <w:p>
            <w:pPr>
              <w:spacing w:before="0" w:after="0"/>
              <w:ind w:left="160"/>
              <w:jc w:val="left"/>
            </w:pPr>
            <w:r>
              <w:rPr>
                <w:rFonts w:ascii="Times New Roman" w:hAnsi="Times New Roman"/>
                <w:b w:val="false"/>
                <w:i w:val="false"/>
                <w:color w:val="000000"/>
                <w:sz w:val="16"/>
              </w:rPr>
              <w:t>of rules relating to (state the subject matter).</w:t>
            </w:r>
          </w:p>
        </w:tc>
        <w:tc>
          <w:tcPr>
            <w:tcW w:w="1490"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72"/>
              </w:rPr>
              <w:t>}</w:t>
            </w:r>
          </w:p>
          <w:p>
            <w:pPr>
              <w:spacing w:before="0" w:after="0"/>
              <w:ind w:left="160"/>
              <w:jc w:val="center"/>
            </w:pP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RULE MAKING</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any law deemed relevant to the office’s authority to take the action urged or to the desirability of that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request by the petitioner for a meeting provided for by rule </w:t>
      </w:r>
      <w:hyperlink r:id="rId5">
        <w:r>
          <w:rPr>
            <w:rStyle w:val="Hyperlink"/>
            <w:rFonts w:ascii="Times New Roman" w:hAnsi="Times New Roman"/>
            <w:b w:val="false"/>
            <w:i w:val="false"/>
            <w:color w:val="000000"/>
            <w:sz w:val="22"/>
          </w:rPr>
          <w:t>129—3.4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The petition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dated and signed by the petitioner or the petitioner’s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the name, mailing address, and telephone number of the petitioner and petitioner’s representative;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The chief information officer (CIO) may deny a petition if it does not substantially conform to or comply with the above requirements relating to filing, form, content, or additional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129—3.2</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may attach a brief to the petition in support of the action urged in the petition. The CIO, or the CIO’s designee, may request a brief from the petitioner or from any other person concerning the substance of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129—3.3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rule making may be made to the Office of the Chief Information Officer, Hoover State Office Building, Level B, 1305 East Walnut Street,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129—3.4</w:t>
      </w:r>
      <w:r>
        <w:rPr>
          <w:rFonts w:ascii="Times New Roman" w:hAnsi="Times New Roman"/>
          <w:b/>
          <w:i w:val="false"/>
          <w:color w:val="000000"/>
          <w:sz w:val="22"/>
        </w:rPr>
        <w:t xml:space="preserve">(17A) </w:t>
      </w:r>
      <w:r>
        <w:rPr>
          <w:rFonts w:ascii="Times New Roman" w:hAnsi="Times New Roman"/>
          <w:b/>
          <w:i w:val="false"/>
          <w:color w:val="000000"/>
          <w:sz w:val="22"/>
        </w:rPr>
        <w:t xml:space="preserve">Office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val="false"/>
          <w:color w:val="000000"/>
          <w:sz w:val="22"/>
        </w:rPr>
        <w:t>Within 14 days after the filing of a petition, the office must submit a copy of the petition and any accompanying brief to the administrative rules coordinator and to the administrative rules review committee. Upon request by petitioner in the petition, the office must schedule a brief and informal meeting between the petitioner and the office to discuss the petition. The office may request the petitioner to submit additional information or argument concerning the petition. The office may also solicit comments from any person on the substance of the petition. Comments on the substance of the petition may also be submitted to the office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val="false"/>
          <w:color w:val="000000"/>
          <w:sz w:val="22"/>
        </w:rPr>
        <w:t>Within 60 days after the filing of the petition, or within any longer period agreed to by the petitioner, the office must, in writing, deny the petition, and notify petitioner of its action and the specific grounds for the denial, or grant the petition and notify petitioner that it has instituted rule-making proceedings on the subject of the petition. The petitioner shall be deemed notified of the denial or granting of the petition on the date when the office mails or delivers the required notification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val="false"/>
          <w:color w:val="000000"/>
          <w:sz w:val="22"/>
        </w:rPr>
        <w:t>Denial of a petition because it does not substantially conform to the required form does not preclude the filing of a new petition on the same subject that seeks to eliminate the grounds for the office’s rejection of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2542C</w:t>
      </w:r>
      <w:r>
        <w:rPr>
          <w:rFonts w:ascii="Times New Roman" w:hAnsi="Times New Roman"/>
          <w:b w:val="false"/>
          <w:i w:val="false"/>
          <w:color w:val="000000"/>
          <w:sz w:val="21"/>
        </w:rPr>
        <w:t xml:space="preserve"> (Notice ARC 2421C, IAB 3/2/16)</w:t>
      </w:r>
      <w:r>
        <w:rPr>
          <w:rFonts w:ascii="Times New Roman" w:hAnsi="Times New Roman"/>
          <w:b w:val="false"/>
          <w:i w:val="false"/>
          <w:color w:val="000000"/>
          <w:sz w:val="21"/>
        </w:rPr>
        <w:t>, IAB 5/25/16, effective 6/29/16]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29.3.4.pdf" Type="http://schemas.openxmlformats.org/officeDocument/2006/relationships/hyperlink" Id="rId5"/>
    <Relationship TargetMode="External" Target="https://www.legis.iowa.gov/docs/ico/chapter/8B.pdf" Type="http://schemas.openxmlformats.org/officeDocument/2006/relationships/hyperlink" Id="rId6"/>
    <Relationship TargetMode="External" Target="https://www.legis.iowa.gov/docs/ico/chapter/17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