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129—2.1</w:t>
      </w:r>
      <w:r>
        <w:rPr>
          <w:rFonts w:ascii="Times New Roman" w:hAnsi="Times New Roman"/>
          <w:b/>
          <w:i w:val="false"/>
          <w:color w:val="000000"/>
          <w:sz w:val="22"/>
        </w:rPr>
        <w:t xml:space="preserve">(8B,17A,22)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office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office, the CIO, or another person lawfully delegated authority by the office to act for the office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“OCIO,” </w:t>
      </w:r>
      <w:r>
        <w:rPr>
          <w:rFonts w:ascii="Times New Roman" w:hAnsi="Times New Roman"/>
          <w:b w:val="false"/>
          <w:i w:val="false"/>
          <w:color w:val="000000"/>
          <w:sz w:val="22"/>
        </w:rPr>
        <w:t xml:space="preserve">unless the context otherwise requires, means the office of the chief information officer authorized by Iowa Code chapter </w:t>
      </w:r>
      <w:hyperlink r:id="rId7">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office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w:t>
      </w:r>
      <w:r>
        <w:rPr>
          <w:rFonts w:ascii="Times New Roman" w:hAnsi="Times New Roman"/>
          <w:b/>
          <w:i w:val="false"/>
          <w:color w:val="000000"/>
          <w:sz w:val="22"/>
        </w:rPr>
        <w:t xml:space="preserve">(8B,17A,22)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determinations by the office with respect to the handling of confidential records and the implementation of the Iowa fair information practices Act. This office is committed to the policies set forth in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office staff shall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129—2.3</w:t>
      </w:r>
      <w:r>
        <w:rPr>
          <w:rFonts w:ascii="Times New Roman" w:hAnsi="Times New Roman"/>
          <w:b/>
          <w:i w:val="false"/>
          <w:color w:val="000000"/>
          <w:sz w:val="22"/>
        </w:rPr>
        <w:t xml:space="preserve">(8B,17A,22)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under the jurisdiction of the OCIO shall be directed to the office where the record is kept. If the location of the record is not known by the requester, the request shall be directed to the Office of the Chief Information Officer, Hoover State Office Building, Level B, 1305 East Walnut Street, Des Moines, Iowa 50319. The OCIO shall forward the request appropriately. If a request for access to a record is misdirected, office personnel will forward the request to the appropriate person within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by e-mail or other electronic means, or by telephone. Requests shall identify the particular record sought by name or description in order to facilitate the location of the record. Mail, electronic, or telephone requests shall include the name, address, and telephone number of the person requesting the information to facilitate the office’s response, unless other arrangements are made to permit production to a person wishing to remain anonymous.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The custodian of records under the jurisdiction of the office is authorized to grant or deny access to a record according to the provisions of this chapter and directions from the office. The decision to grant or deny access may be delegated to one or more designated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4">
        <w:r>
          <w:rPr>
            <w:rStyle w:val="Hyperlink"/>
            <w:rFonts w:ascii="Times New Roman" w:hAnsi="Times New Roman"/>
            <w:b w:val="false"/>
            <w:i w:val="false"/>
            <w:color w:val="000000"/>
            <w:sz w:val="22"/>
          </w:rPr>
          <w:t>129—2.4</w:t>
        </w:r>
      </w:hyperlink>
      <w:r>
        <w:rPr>
          <w:rFonts w:ascii="Times New Roman" w:hAnsi="Times New Roman"/>
          <w:b w:val="false"/>
          <w:i w:val="false"/>
          <w:color w:val="000000"/>
          <w:sz w:val="22"/>
        </w:rPr>
        <w:t>(8B,17A,22) in this chapter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office files. Examination and copying of office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office of the OCIO. If photocopy equipment is not available in the offices of the OCIO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office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OCIO shall be prominently posted in the offices of the OCIO. Copies of records may be made by or for members of the public on office photocopy machines or from electronic storage systems at cost as determined and posted in the offices of the OCIO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office expenses in supervising the examination and copying of requested records when the supervision time required is in excess of one-half hour. The custodian shall prominently post in the offices of the OCIO the hourly fees to be charged for supervision of records during examination and copying. That hourly fee shall not be in excess of the hourly wage of an office clerical employee who ordinarily would be appropriate and suitable to perform this supervisory function. To the extent permitted by law, a search fee may be charged at the same rate as and under the same conditions as are applicable to supervisory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 Upon completion, the actual fee will be calculated and the difference refunded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w:t>
      </w:r>
      <w:r>
        <w:rPr>
          <w:rFonts w:ascii="Times New Roman" w:hAnsi="Times New Roman"/>
          <w:b w:val="false"/>
          <w:i w:val="false"/>
          <w:color w:val="000000"/>
          <w:sz w:val="22"/>
        </w:rPr>
        <w:t> </w:t>
      </w:r>
      <w:r>
        <w:rPr>
          <w:rFonts w:ascii="Times New Roman" w:hAnsi="Times New Roman"/>
          <w:b w:val="false"/>
          <w:i/>
          <w:color w:val="000000"/>
          <w:sz w:val="22"/>
        </w:rPr>
        <w:t xml:space="preserve">Records held for others. </w:t>
      </w:r>
      <w:r>
        <w:rPr>
          <w:rFonts w:ascii="Times New Roman" w:hAnsi="Times New Roman"/>
          <w:b w:val="false"/>
          <w:i w:val="false"/>
          <w:color w:val="000000"/>
          <w:sz w:val="22"/>
        </w:rPr>
        <w:t>Requests for records the office holds solely in storage for or as the agent of another public body are not within the jurisdiction of the office and shall be directed to the owner of the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129—2.4</w:t>
      </w:r>
      <w:r>
        <w:rPr>
          <w:rFonts w:ascii="Times New Roman" w:hAnsi="Times New Roman"/>
          <w:b/>
          <w:i w:val="false"/>
          <w:color w:val="000000"/>
          <w:sz w:val="22"/>
        </w:rPr>
        <w:t xml:space="preserve">(8B,17A,22)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6">
        <w:r>
          <w:rPr>
            <w:rStyle w:val="Hyperlink"/>
            <w:rFonts w:ascii="Times New Roman" w:hAnsi="Times New Roman"/>
            <w:b w:val="false"/>
            <w:i w:val="false"/>
            <w:color w:val="000000"/>
            <w:sz w:val="22"/>
          </w:rPr>
          <w:t>129—2.3</w:t>
        </w:r>
      </w:hyperlink>
      <w:r>
        <w:rPr>
          <w:rFonts w:ascii="Times New Roman" w:hAnsi="Times New Roman"/>
          <w:b w:val="false"/>
          <w:i w:val="false"/>
          <w:color w:val="000000"/>
          <w:sz w:val="22"/>
        </w:rPr>
        <w:t>(8B,17A,22).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129—2.5</w:t>
      </w:r>
      <w:r>
        <w:rPr>
          <w:rFonts w:ascii="Times New Roman" w:hAnsi="Times New Roman"/>
          <w:b/>
          <w:i w:val="false"/>
          <w:color w:val="000000"/>
          <w:sz w:val="22"/>
        </w:rPr>
        <w:t xml:space="preserve">(8B,17A,22)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with those portions deleted for which such confidential record treatment has been requested. If the original record is being submitted to the office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office does not request that it be withheld from public inspection under Iowa Code sections </w:t>
      </w:r>
      <w:hyperlink r:id="rId20">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2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129—2.6</w:t>
      </w:r>
      <w:r>
        <w:rPr>
          <w:rFonts w:ascii="Times New Roman" w:hAnsi="Times New Roman"/>
          <w:b/>
          <w:i w:val="false"/>
          <w:color w:val="000000"/>
          <w:sz w:val="22"/>
        </w:rPr>
        <w:t xml:space="preserve">(8B,17A,22)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The requester shall send the request to review such a record or the written statement of additions, dissents, or objections to the custodian. The request to review such a record or the written statement of such a record of additions, dissents, or objections must be dated and signed by the requester and shall include the current address and telephone number of the requester or the requester’s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129—2.7</w:t>
      </w:r>
      <w:r>
        <w:rPr>
          <w:rFonts w:ascii="Times New Roman" w:hAnsi="Times New Roman"/>
          <w:b/>
          <w:i w:val="false"/>
          <w:color w:val="000000"/>
          <w:sz w:val="22"/>
        </w:rPr>
        <w:t xml:space="preserve">(8B,17A,22)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before the office on behalf of a person who is the subject of a confidential record is deemed to constitute consent for the office to disclose records about that person to the person’s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129—2.8</w:t>
      </w:r>
      <w:r>
        <w:rPr>
          <w:rFonts w:ascii="Times New Roman" w:hAnsi="Times New Roman"/>
          <w:b/>
          <w:i w:val="false"/>
          <w:color w:val="000000"/>
          <w:sz w:val="22"/>
        </w:rPr>
        <w:t xml:space="preserve">(8B,17A,22)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3">
        <w:r>
          <w:rPr>
            <w:rStyle w:val="Hyperlink"/>
            <w:rFonts w:ascii="Times New Roman" w:hAnsi="Times New Roman"/>
            <w:b w:val="false"/>
            <w:i w:val="false"/>
            <w:color w:val="000000"/>
            <w:sz w:val="22"/>
          </w:rPr>
          <w:t>129—2.9</w:t>
        </w:r>
      </w:hyperlink>
      <w:r>
        <w:rPr>
          <w:rFonts w:ascii="Times New Roman" w:hAnsi="Times New Roman"/>
          <w:b w:val="false"/>
          <w:i w:val="false"/>
          <w:color w:val="000000"/>
          <w:sz w:val="22"/>
        </w:rPr>
        <w:t>(8B,17A,22)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office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office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129—2.9</w:t>
      </w:r>
      <w:r>
        <w:rPr>
          <w:rFonts w:ascii="Times New Roman" w:hAnsi="Times New Roman"/>
          <w:b/>
          <w:i w:val="false"/>
          <w:color w:val="000000"/>
          <w:sz w:val="22"/>
        </w:rPr>
        <w:t xml:space="preserve">(8B,17A,22)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2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office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office who have a need for the record in the performance of their duties. The custodian of the record may, upon request of any officer or employee, or on the custodian’s own initiative, determine what constitutes a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office,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office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to the public and news media of pleadings, motions, orders, final decisions, and informal settlements filed in contested case proceedings before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Transmittal to the district court of the record in a contested case before the office, pursuant to Iowa Code section </w:t>
      </w:r>
      <w:hyperlink r:id="rId25">
        <w:r>
          <w:rPr>
            <w:rStyle w:val="Hyperlink"/>
            <w:rFonts w:ascii="Times New Roman" w:hAnsi="Times New Roman"/>
            <w:b w:val="false"/>
            <w:i w:val="false"/>
            <w:color w:val="000000"/>
            <w:sz w:val="22"/>
          </w:rPr>
          <w:t>17A.19(6)</w:t>
        </w:r>
      </w:hyperlink>
      <w:r>
        <w:rPr>
          <w:rFonts w:ascii="Times New Roman" w:hAnsi="Times New Roman"/>
          <w:b w:val="false"/>
          <w:i w:val="false"/>
          <w:color w:val="000000"/>
          <w:sz w:val="22"/>
        </w:rPr>
        <w:t>, regardless of whether the hearing was open or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129—2.10</w:t>
      </w:r>
      <w:r>
        <w:rPr>
          <w:rFonts w:ascii="Times New Roman" w:hAnsi="Times New Roman"/>
          <w:b/>
          <w:i w:val="false"/>
          <w:color w:val="000000"/>
          <w:sz w:val="22"/>
        </w:rPr>
        <w:t xml:space="preserve">(8B,17A,22)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the office’s disclosure of confidential records as provided in rule </w:t>
      </w:r>
      <w:hyperlink r:id="rId26">
        <w:r>
          <w:rPr>
            <w:rStyle w:val="Hyperlink"/>
            <w:rFonts w:ascii="Times New Roman" w:hAnsi="Times New Roman"/>
            <w:b w:val="false"/>
            <w:i w:val="false"/>
            <w:color w:val="000000"/>
            <w:sz w:val="22"/>
          </w:rPr>
          <w:t>129—2.7</w:t>
        </w:r>
      </w:hyperlink>
      <w:r>
        <w:rPr>
          <w:rFonts w:ascii="Times New Roman" w:hAnsi="Times New Roman"/>
          <w:b w:val="false"/>
          <w:i w:val="false"/>
          <w:color w:val="000000"/>
          <w:sz w:val="22"/>
        </w:rPr>
        <w:t>(8B,17A,22).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office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129—2.11</w:t>
      </w:r>
      <w:r>
        <w:rPr>
          <w:rFonts w:ascii="Times New Roman" w:hAnsi="Times New Roman"/>
          <w:b/>
          <w:i w:val="false"/>
          <w:color w:val="000000"/>
          <w:sz w:val="22"/>
        </w:rPr>
        <w:t xml:space="preserve">(8B,17A,22)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27">
        <w:r>
          <w:rPr>
            <w:rStyle w:val="Hyperlink"/>
            <w:rFonts w:ascii="Times New Roman" w:hAnsi="Times New Roman"/>
            <w:b w:val="false"/>
            <w:i w:val="false"/>
            <w:color w:val="000000"/>
            <w:sz w:val="22"/>
          </w:rPr>
          <w:t>129—2.6</w:t>
        </w:r>
      </w:hyperlink>
      <w:r>
        <w:rPr>
          <w:rFonts w:ascii="Times New Roman" w:hAnsi="Times New Roman"/>
          <w:b w:val="false"/>
          <w:i w:val="false"/>
          <w:color w:val="000000"/>
          <w:sz w:val="22"/>
        </w:rPr>
        <w:t>(8B,17A,22). However, the office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office need not be disclosed directly or indirectly to the subject of the information when the information is authorized to be held confidential pursuant to Iowa Code section </w:t>
      </w:r>
      <w:hyperlink r:id="rId2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office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129—2.12</w:t>
      </w:r>
      <w:r>
        <w:rPr>
          <w:rFonts w:ascii="Times New Roman" w:hAnsi="Times New Roman"/>
          <w:b/>
          <w:i w:val="false"/>
          <w:color w:val="000000"/>
          <w:sz w:val="22"/>
        </w:rPr>
        <w:t xml:space="preserve">(8B,17A,22)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Office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is a depository for the records of other public bodies. Records are maintained on paper, audiotape, and microform, and in electronic information storage and media systems. Although these records are in the physical possession of the office, the responsibility for compliance with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remains with the “lawful custodian.” The public body requesting creation or storage of the record by the office is the lawful custodian (see Iowa Code section </w:t>
      </w:r>
      <w:hyperlink r:id="rId3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definition of “lawful custodian”). All such records are confidentially maintained while in the possession of the office. Requests for access to any such records must be directed to the lawful custodian. In the event the office receives a request for access to any such records, the office may, in its discretion, direct the person making such a request to the lawful custodian of the subject records, or forward such request to the lawful custodian of the subject records. Additionally, any records maintained by the office concerning the content, location, or disposition of such records are confidential in order to maintain security for access to confidential records pursuant to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3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Procurement proposals prior to completion of the evaluation process and the issuance of a notice of intent to award a contract by the appropriate procurement authority. (</w:t>
      </w:r>
      <w:hyperlink r:id="rId34">
        <w:r>
          <w:rPr>
            <w:rStyle w:val="Hyperlink"/>
            <w:rFonts w:ascii="Times New Roman" w:hAnsi="Times New Roman"/>
            <w:b w:val="false"/>
            <w:i w:val="false"/>
            <w:color w:val="000000"/>
            <w:sz w:val="22"/>
          </w:rPr>
          <w:t>11—subrule 117.19(3)</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office. (Iowa Code sections </w:t>
      </w:r>
      <w:hyperlink r:id="rId3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or audio recordings of closed meetings of a government body. (Iowa Code section </w:t>
      </w:r>
      <w:hyperlink r:id="rId3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8">
        <w:r>
          <w:rPr>
            <w:rStyle w:val="Hyperlink"/>
            <w:rFonts w:ascii="Times New Roman" w:hAnsi="Times New Roman"/>
            <w:b w:val="false"/>
            <w:i w:val="false"/>
            <w:color w:val="000000"/>
            <w:sz w:val="22"/>
          </w:rPr>
          <w:t>17A.3(1)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Those portions of office staff manuals, instructions, or other statements issued which set forth criteria or guidelines to be used by office staff in auditing, in making inspections, in settling commercial disputes or negotiating commercial arrangements, or in the selection or handling of cases, such as operational tactics or allowable tolerances of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office. (Iowa Code sections </w:t>
      </w:r>
      <w:hyperlink r:id="rId39">
        <w:r>
          <w:rPr>
            <w:rStyle w:val="Hyperlink"/>
            <w:rFonts w:ascii="Times New Roman" w:hAnsi="Times New Roman"/>
            <w:b w:val="false"/>
            <w:i w:val="false"/>
            <w:color w:val="000000"/>
            <w:sz w:val="22"/>
          </w:rPr>
          <w:t>17A.2(11)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products or attorney-client communications or which are otherwise privileged pursuant to Iowa Code section </w:t>
      </w:r>
      <w:hyperlink r:id="rId4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state and federal rules of evidence or procedure,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 resource security files containing names, identifiers, and passwords of users of computer resources. Such files must be kept confidential to maintain security for access to confidential records pursuant to Iowa Code section </w:t>
      </w:r>
      <w:hyperlink r:id="rId4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section </w:t>
      </w:r>
      <w:hyperlink r:id="rId45">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or information collected for the purpose of assessing, analyzing, measuring, preparing for, or responding to suspected, potential, or actual information security threats. (Iowa Code section </w:t>
      </w:r>
      <w:hyperlink r:id="rId46">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or information collected for the purpose of assessing, analyzing, or classifying the severity of, nature of, ability to remediate, or ability to migrate data. (Iowa Code section </w:t>
      </w:r>
      <w:hyperlink r:id="rId47">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Detailed security audit information. Such information includes but is not limited to security assessment reports; information directly related to vulnerability assessments; information contained in records relating to security measures such as security and response plans, security codes and combinations, passwords, restricted area passes, keys, and security or response procedures; emergency response protocols; and information contained in records that if disclosed would significantly increase the vulnerability of critical physical systems or infrastructures of the office. (Iowa Code section </w:t>
      </w:r>
      <w:hyperlink r:id="rId48">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security data, information security proposals, or information security assessments compiled, prepared, or developed by a governmental body, or compiled, prepared, or developed by a nongovernment body and used by a government body pursuant to a contractual relationship with the nongovernment body. (Iowa Code section </w:t>
      </w:r>
      <w:hyperlink r:id="rId49">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Data processing software, as defined in Iowa Code section </w:t>
      </w:r>
      <w:hyperlink r:id="rId50">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xml:space="preserve">, which is developed by a government body, or developed by a nongovernment body and used by a government body pursuant to a contractual relationship with the nongovernment body. (Iowa Code section </w:t>
      </w:r>
      <w:hyperlink r:id="rId51">
        <w:r>
          <w:rPr>
            <w:rStyle w:val="Hyperlink"/>
            <w:rFonts w:ascii="Times New Roman" w:hAnsi="Times New Roman"/>
            <w:b w:val="false"/>
            <w:i w:val="false"/>
            <w:color w:val="000000"/>
            <w:sz w:val="22"/>
          </w:rPr>
          <w:t>22.3A(2)</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Log-on identification passwords, Internet protocol addresses, private keys, or other records containing information which might lead to the disclosure of private keys used in a digital signature or other similar technologies as provided in Iowa Code chapter </w:t>
      </w:r>
      <w:hyperlink r:id="rId52">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if disclosed might jeopardize the security of an electronic transaction pursuant to Iowa Code chapter </w:t>
      </w:r>
      <w:hyperlink r:id="rId53">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office may have discretion to disclose some confidential records which are exempt from disclosure under Iowa Code section </w:t>
      </w:r>
      <w:hyperlink r:id="rId5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55">
        <w:r>
          <w:rPr>
            <w:rStyle w:val="Hyperlink"/>
            <w:rFonts w:ascii="Times New Roman" w:hAnsi="Times New Roman"/>
            <w:b w:val="false"/>
            <w:i w:val="false"/>
            <w:color w:val="000000"/>
            <w:sz w:val="22"/>
          </w:rPr>
          <w:t>129—2.4</w:t>
        </w:r>
      </w:hyperlink>
      <w:r>
        <w:rPr>
          <w:rFonts w:ascii="Times New Roman" w:hAnsi="Times New Roman"/>
          <w:b w:val="false"/>
          <w:i w:val="false"/>
          <w:color w:val="000000"/>
          <w:sz w:val="22"/>
        </w:rPr>
        <w:t xml:space="preserve">(8B,17A,22). If the office initially determines that it will release such records, the office may where appropriate notify interested parties and withhold the records from inspection as provided in subrule </w:t>
      </w:r>
      <w:hyperlink r:id="rId56">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129—2.13</w:t>
      </w:r>
      <w:r>
        <w:rPr>
          <w:rFonts w:ascii="Times New Roman" w:hAnsi="Times New Roman"/>
          <w:b/>
          <w:i w:val="false"/>
          <w:color w:val="000000"/>
          <w:sz w:val="22"/>
        </w:rPr>
        <w:t xml:space="preserve">(8B,17A,22)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office by personal identifier in record systems as defined in rule </w:t>
      </w:r>
      <w:hyperlink r:id="rId57">
        <w:r>
          <w:rPr>
            <w:rStyle w:val="Hyperlink"/>
            <w:rFonts w:ascii="Times New Roman" w:hAnsi="Times New Roman"/>
            <w:b w:val="false"/>
            <w:i w:val="false"/>
            <w:color w:val="000000"/>
            <w:sz w:val="22"/>
          </w:rPr>
          <w:t>129—2.1</w:t>
        </w:r>
      </w:hyperlink>
      <w:r>
        <w:rPr>
          <w:rFonts w:ascii="Times New Roman" w:hAnsi="Times New Roman"/>
          <w:b w:val="false"/>
          <w:i w:val="false"/>
          <w:color w:val="000000"/>
          <w:sz w:val="22"/>
        </w:rPr>
        <w:t xml:space="preserve">(8B,17A,22). Unless otherwise stated, the authority to maintain the record is provided by Iowa Code chapter </w:t>
      </w:r>
      <w:hyperlink r:id="rId58">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may be used to retrieve information from any of the systems of records that the office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microfilm, microfiche,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office. </w:t>
      </w:r>
      <w:r>
        <w:rPr>
          <w:rFonts w:ascii="Times New Roman" w:hAnsi="Times New Roman"/>
          <w:b w:val="false"/>
          <w:i w:val="false"/>
          <w:color w:val="000000"/>
          <w:sz w:val="22"/>
        </w:rPr>
        <w:t>Personally identifiable information in systems of records maintained by the office is retrievable through the use of personal identifiers and may be compared with information from outside the office when specified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 xml:space="preserve">All of the record systems listed in subrule </w:t>
      </w:r>
      <w:hyperlink r:id="rId59">
        <w:r>
          <w:rPr>
            <w:rStyle w:val="Hyperlink"/>
            <w:rFonts w:ascii="Times New Roman" w:hAnsi="Times New Roman"/>
            <w:b w:val="false"/>
            <w:i w:val="false"/>
            <w:color w:val="000000"/>
            <w:sz w:val="22"/>
          </w:rPr>
          <w:t>2.13(6)</w:t>
        </w:r>
      </w:hyperlink>
      <w:r>
        <w:rPr>
          <w:rFonts w:ascii="Times New Roman" w:hAnsi="Times New Roman"/>
          <w:b w:val="false"/>
          <w:i w:val="false"/>
          <w:color w:val="000000"/>
          <w:sz w:val="22"/>
        </w:rPr>
        <w:t xml:space="preserve"> contain personally identifiable information concerning matters such as income and 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Record systems with personally identifiable retrieval. </w:t>
      </w:r>
      <w:r>
        <w:rPr>
          <w:rFonts w:ascii="Times New Roman" w:hAnsi="Times New Roman"/>
          <w:b w:val="false"/>
          <w:i w:val="false"/>
          <w:color w:val="000000"/>
          <w:sz w:val="22"/>
        </w:rPr>
        <w:t>The office maintains other public bodies’ systems or records that contain personally identifiable and confidential information. The legal authority for the collection of the information is with the public body of record for that system. The following record systems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office maintains files containing information about employees and applicants for positions with the office. The files include payroll records,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6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Telephone directory of state employees. The office maintains a telephone directory of state employees. The directory contains names, department names, business addresses and telephone numbers. The publication also includes private industry information and advertising containing business names, addresses and telephone numbers. This record is stored on both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Contracts. These are records pertaining to training, consultants, and other services. These records are collected in accordance with Iowa Code chapter </w:t>
      </w:r>
      <w:hyperlink r:id="rId61">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portions are confidential records under Iowa Code section </w:t>
      </w:r>
      <w:hyperlink r:id="rId6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Vendor files. The office maintains files of vendors eligible to do business with the state of Iowa. Files may contain applications, vendor information booklets, vendor codes, commodity codes, minority-owned vendor identification information, and mailing lists. Records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to obtain copies of pleadings and other documents filed in litigation should obtain these from the clerk of the appropriate court which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129—2.14</w:t>
      </w:r>
      <w:r>
        <w:rPr>
          <w:rFonts w:ascii="Times New Roman" w:hAnsi="Times New Roman"/>
          <w:b/>
          <w:i w:val="false"/>
          <w:color w:val="000000"/>
          <w:sz w:val="22"/>
        </w:rPr>
        <w:t xml:space="preserve">(8B,17A,22)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office other than record systems as defined in rule </w:t>
      </w:r>
      <w:hyperlink r:id="rId63">
        <w:r>
          <w:rPr>
            <w:rStyle w:val="Hyperlink"/>
            <w:rFonts w:ascii="Times New Roman" w:hAnsi="Times New Roman"/>
            <w:b w:val="false"/>
            <w:i w:val="false"/>
            <w:color w:val="000000"/>
            <w:sz w:val="22"/>
          </w:rPr>
          <w:t>129—2.1</w:t>
        </w:r>
      </w:hyperlink>
      <w:r>
        <w:rPr>
          <w:rFonts w:ascii="Times New Roman" w:hAnsi="Times New Roman"/>
          <w:b w:val="false"/>
          <w:i w:val="false"/>
          <w:color w:val="000000"/>
          <w:sz w:val="22"/>
        </w:rPr>
        <w:t xml:space="preserve">(8B,17A,22). These records are routinely available to the public. However, the office’s files of these records may contain confidential information. In addition, the records listed in rule </w:t>
      </w:r>
      <w:hyperlink r:id="rId64">
        <w:r>
          <w:rPr>
            <w:rStyle w:val="Hyperlink"/>
            <w:rFonts w:ascii="Times New Roman" w:hAnsi="Times New Roman"/>
            <w:b w:val="false"/>
            <w:i w:val="false"/>
            <w:color w:val="000000"/>
            <w:sz w:val="22"/>
          </w:rPr>
          <w:t>129—2.13</w:t>
        </w:r>
      </w:hyperlink>
      <w:r>
        <w:rPr>
          <w:rFonts w:ascii="Times New Roman" w:hAnsi="Times New Roman"/>
          <w:b w:val="false"/>
          <w:i w:val="false"/>
          <w:color w:val="000000"/>
          <w:sz w:val="22"/>
        </w:rPr>
        <w:t>(8B,17A,22) may contain information about individuals. All records are stored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records. Rule-making records are official documents executed during the promulgation of office rules and public comments. Rule-making records may contain information about individuals making written or oral comments on proposed rules. This information is collected pursuant to Iowa Code section </w:t>
      </w:r>
      <w:hyperlink r:id="rId6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generally stored in an automated data processing system, although rule-making dockets may be found on the office’s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Rule-making initiatives. The office maintains both paper and electronic records on rule-making initiatives in accordance with Executive Order Numbers 8 and 9 signed September 14,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and commission records. Agendas, minutes, and materials presented to boards and commissions within the office are available from the office except those records which concern closed sessions and are exempt from disclosure under Iowa Code section </w:t>
      </w:r>
      <w:hyperlink r:id="rId6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These records may contain information about individuals who participate in meetings. This information is collected pursuant to Iowa Code section </w:t>
      </w:r>
      <w:hyperlink r:id="rId6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These records may also be stored on audiotapes. This information is not stored in an automated data processing system, although minutes and other information may be found on the office’s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office newsletters, and other publications are available from the office. Office news releases, project reports, and newsletters may contain information about individuals, including office staff or members of office councils or committees. This information is not stored in an automated data processing system, although some office publications may be found on the office’s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decisions and advisory opinions. All final orders, decisions and opinions are open to the public except for information that is confidential according to rule </w:t>
      </w:r>
      <w:hyperlink r:id="rId68">
        <w:r>
          <w:rPr>
            <w:rStyle w:val="Hyperlink"/>
            <w:rFonts w:ascii="Times New Roman" w:hAnsi="Times New Roman"/>
            <w:b w:val="false"/>
            <w:i w:val="false"/>
            <w:color w:val="000000"/>
            <w:sz w:val="22"/>
          </w:rPr>
          <w:t>129—2.5</w:t>
        </w:r>
      </w:hyperlink>
      <w:r>
        <w:rPr>
          <w:rFonts w:ascii="Times New Roman" w:hAnsi="Times New Roman"/>
          <w:b w:val="false"/>
          <w:i w:val="false"/>
          <w:color w:val="000000"/>
          <w:sz w:val="22"/>
        </w:rPr>
        <w:t xml:space="preserve">(8B,17A,22) or subrule </w:t>
      </w:r>
      <w:hyperlink r:id="rId69">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 xml:space="preserve">. These records, collected under the authority of Iowa Code chapter </w:t>
      </w:r>
      <w:hyperlink r:id="rId70">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Published materials or manuals. The office uses many legal and technical publications in its work. The public may inspect these publications upon request. Some of these materials may be protected by copyright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Mailing lists and contact lists. The office maintains lists including names, mailing addresses, and telephone numbers of state employees, commission members, officials in government of other states, and members of the general public. These lists may be used for distribution of informational material, such as newsletters, policy directives, or educational bulletins. These lists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val="false"/>
          <w:color w:val="000000"/>
          <w:sz w:val="22"/>
        </w:rPr>
        <w:t>Authorized user lists. The office maintains a list of persons authorized to use the office’s online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val="false"/>
          <w:color w:val="000000"/>
          <w:sz w:val="22"/>
        </w:rPr>
        <w:t>Bid/purchasing process. The office maintains records of specifications, proposals, bid documents, awards, contracts, agreements, leases, performance bonds, requisitions, purchase orders, printing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val="false"/>
          <w:color w:val="000000"/>
          <w:sz w:val="22"/>
        </w:rPr>
        <w:t>Project files. The office maintains plans, specifications, contracts, studies, drawings, photos, requests for services, lease/rental files, 28E agreements, and facilities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val="false"/>
          <w:color w:val="000000"/>
          <w:sz w:val="22"/>
        </w:rPr>
        <w:t>Property/equipment files. The office maintains records of inventory, assignments, distribution, maintenance, requests, operations, shipping/receiving reports,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val="false"/>
          <w:color w:val="000000"/>
          <w:sz w:val="22"/>
        </w:rPr>
        <w:t>Data processing files. Data processing files include operations logs, database user requests, job number maintenance/updates, data entry format books, integrated data dictionaries, computer output form designations, system software, hardware/software configurations, problem determination/resolution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Administrative records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weekly, monthly, annual, biennial, statistical, analysis,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public, interagency,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or tables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Accounting records: accounts receivable, accounts payable, receipts, invoices, claims, vouchers, office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Requisitions of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Time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Purchasing documents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val="false"/>
          <w:color w:val="000000"/>
          <w:sz w:val="22"/>
        </w:rPr>
        <w:t>Legislative files. Legislative files include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val="false"/>
          <w:color w:val="000000"/>
          <w:sz w:val="22"/>
        </w:rPr>
        <w:t>Printing files. Printing files include print requisitions, plates, negatives, samples, typesetting, artwork, and production logs.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2.14(16)</w:t>
      </w:r>
      <w:r>
        <w:rPr>
          <w:rFonts w:ascii="Times New Roman" w:hAnsi="Times New Roman"/>
          <w:b w:val="false"/>
          <w:i w:val="false"/>
          <w:color w:val="000000"/>
          <w:sz w:val="22"/>
        </w:rPr>
        <w:t> </w:t>
      </w:r>
      <w:r>
        <w:rPr>
          <w:rFonts w:ascii="Times New Roman" w:hAnsi="Times New Roman"/>
          <w:b w:val="false"/>
          <w:i w:val="false"/>
          <w:color w:val="000000"/>
          <w:sz w:val="22"/>
        </w:rPr>
        <w:t>Waivers and variances. Requests for waivers and variances, office proceedings and rulings on such requests, and reports prepared for the administrative rules review committee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w:t>
      </w:r>
      <w:r>
        <w:rPr>
          <w:rFonts w:ascii="Times New Roman" w:hAnsi="Times New Roman"/>
          <w:b w:val="false"/>
          <w:i w:val="false"/>
          <w:color w:val="000000"/>
          <w:sz w:val="22"/>
        </w:rPr>
        <w:t> </w:t>
      </w:r>
      <w:r>
        <w:rPr>
          <w:rFonts w:ascii="Times New Roman" w:hAnsi="Times New Roman"/>
          <w:b w:val="false"/>
          <w:i w:val="false"/>
          <w:color w:val="000000"/>
          <w:sz w:val="22"/>
        </w:rPr>
        <w:t>General correspondence, reciprocity agreements with other states, and cooperative agreements and memorandums of understanding with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w:t>
      </w:r>
      <w:r>
        <w:rPr>
          <w:rFonts w:ascii="Times New Roman" w:hAnsi="Times New Roman"/>
          <w:b w:val="false"/>
          <w:i w:val="false"/>
          <w:color w:val="000000"/>
          <w:sz w:val="22"/>
        </w:rPr>
        <w:t> </w:t>
      </w:r>
      <w:r>
        <w:rPr>
          <w:rFonts w:ascii="Times New Roman" w:hAnsi="Times New Roman"/>
          <w:b w:val="false"/>
          <w:i w:val="false"/>
          <w:color w:val="000000"/>
          <w:sz w:val="22"/>
        </w:rPr>
        <w:t>All other records. Records are open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129—2.15</w:t>
      </w:r>
      <w:r>
        <w:rPr>
          <w:rFonts w:ascii="Times New Roman" w:hAnsi="Times New Roman"/>
          <w:b/>
          <w:i w:val="false"/>
          <w:color w:val="000000"/>
          <w:sz w:val="22"/>
        </w:rPr>
        <w:t xml:space="preserve">(8B,17A,22) </w:t>
      </w:r>
      <w:r>
        <w:rPr>
          <w:rFonts w:ascii="Times New Roman" w:hAnsi="Times New Roman"/>
          <w:b/>
          <w:i w:val="false"/>
          <w:color w:val="000000"/>
          <w:sz w:val="22"/>
        </w:rPr>
        <w:t xml:space="preserve">Data processing systems comparison. </w:t>
      </w:r>
      <w:r>
        <w:rPr>
          <w:rFonts w:ascii="Times New Roman" w:hAnsi="Times New Roman"/>
          <w:b w:val="false"/>
          <w:i w:val="false"/>
          <w:color w:val="000000"/>
          <w:sz w:val="22"/>
        </w:rPr>
        <w:t>Some of the data processing systems used by the office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129—2.16</w:t>
      </w:r>
      <w:r>
        <w:rPr>
          <w:rFonts w:ascii="Times New Roman" w:hAnsi="Times New Roman"/>
          <w:b/>
          <w:i w:val="false"/>
          <w:color w:val="000000"/>
          <w:sz w:val="22"/>
        </w:rPr>
        <w:t xml:space="preserve">(8B,17A,22)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office to index or retrieve records which contain information about individuals by a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7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office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office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129—2.17</w:t>
      </w:r>
      <w:r>
        <w:rPr>
          <w:rFonts w:ascii="Times New Roman" w:hAnsi="Times New Roman"/>
          <w:b/>
          <w:i w:val="false"/>
          <w:color w:val="000000"/>
          <w:sz w:val="22"/>
        </w:rPr>
        <w:t xml:space="preserve">(8B,17A,22)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office requests a person to supply information about that person, the office shall notify the person of the use that will be made of the information, which persons outside the office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2">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2542C</w:t>
      </w:r>
      <w:r>
        <w:rPr>
          <w:rFonts w:ascii="Times New Roman" w:hAnsi="Times New Roman"/>
          <w:b w:val="false"/>
          <w:i w:val="false"/>
          <w:color w:val="000000"/>
          <w:sz w:val="21"/>
        </w:rPr>
        <w:t xml:space="preserve"> (Notice ARC 2421C, IAB 3/2/16)</w:t>
      </w:r>
      <w:r>
        <w:rPr>
          <w:rFonts w:ascii="Times New Roman" w:hAnsi="Times New Roman"/>
          <w:b w:val="false"/>
          <w:i w:val="false"/>
          <w:color w:val="000000"/>
          <w:sz w:val="21"/>
        </w:rPr>
        <w:t>, IAB 5/25/16, effective 6/29/16]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8B.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ac/rule/129.2.4.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ac/rule/129.2.3.pdf" Type="http://schemas.openxmlformats.org/officeDocument/2006/relationships/hyperlink" Id="rId16"/>
    <Relationship TargetMode="External" Target="https://www.legis.iowa.gov/docs/ico/chapter/22.8.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8.pdf" Type="http://schemas.openxmlformats.org/officeDocument/2006/relationships/hyperlink" Id="rId22"/>
    <Relationship TargetMode="External" Target="https://www.legis.iowa.gov/docs/iac/rule/129.2.9.pdf" Type="http://schemas.openxmlformats.org/officeDocument/2006/relationships/hyperlink" Id="rId23"/>
    <Relationship TargetMode="External" Target="https://www.legis.iowa.gov/docs/ico/chapter/22.pdf" Type="http://schemas.openxmlformats.org/officeDocument/2006/relationships/hyperlink" Id="rId24"/>
    <Relationship TargetMode="External" Target="https://www.legis.iowa.gov/docs/ico/chapter/17A.19.pdf" Type="http://schemas.openxmlformats.org/officeDocument/2006/relationships/hyperlink" Id="rId25"/>
    <Relationship TargetMode="External" Target="https://www.legis.iowa.gov/docs/iac/rule/129.2.7.pdf" Type="http://schemas.openxmlformats.org/officeDocument/2006/relationships/hyperlink" Id="rId26"/>
    <Relationship TargetMode="External" Target="https://www.legis.iowa.gov/docs/iac/rule/129.2.6.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22.1.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72.3.pdf" Type="http://schemas.openxmlformats.org/officeDocument/2006/relationships/hyperlink" Id="rId33"/>
    <Relationship TargetMode="External" Target="https://www.legis.iowa.gov/docs/iac/rule/11.117.19.pdf" Type="http://schemas.openxmlformats.org/officeDocument/2006/relationships/hyperlink" Id="rId34"/>
    <Relationship TargetMode="External" Target="https://www.legis.iowa.gov/docs/ico/chapter/422.20.pdf" Type="http://schemas.openxmlformats.org/officeDocument/2006/relationships/hyperlink" Id="rId35"/>
    <Relationship TargetMode="External" Target="https://www.legis.iowa.gov/docs/ico/chapter/422.72.pdf" Type="http://schemas.openxmlformats.org/officeDocument/2006/relationships/hyperlink" Id="rId36"/>
    <Relationship TargetMode="External" Target="https://www.legis.iowa.gov/docs/ico/chapter/21.5.pdf" Type="http://schemas.openxmlformats.org/officeDocument/2006/relationships/hyperlink" Id="rId37"/>
    <Relationship TargetMode="External" Target="https://www.legis.iowa.gov/docs/ico/chapter/17A.3.pdf" Type="http://schemas.openxmlformats.org/officeDocument/2006/relationships/hyperlink" Id="rId38"/>
    <Relationship TargetMode="External" Target="https://www.legis.iowa.gov/docs/ico/chapter/17A.2.pdf" Type="http://schemas.openxmlformats.org/officeDocument/2006/relationships/hyperlink" Id="rId39"/>
    <Relationship TargetMode="External" Target="https://www.legis.iowa.gov/docs/ico/chapter/17A.3.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622.10.pdf" Type="http://schemas.openxmlformats.org/officeDocument/2006/relationships/hyperlink" Id="rId42"/>
    <Relationship TargetMode="External" Target="https://www.legis.iowa.gov/docs/ico/chapter/622.11.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co/chapter/22.7.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2.3A.pdf" Type="http://schemas.openxmlformats.org/officeDocument/2006/relationships/hyperlink" Id="rId50"/>
    <Relationship TargetMode="External" Target="https://www.legis.iowa.gov/docs/ico/chapter/22.3A.pdf" Type="http://schemas.openxmlformats.org/officeDocument/2006/relationships/hyperlink" Id="rId51"/>
    <Relationship TargetMode="External" Target="https://www.legis.iowa.gov/docs/ico/chapter/554D.pdf" Type="http://schemas.openxmlformats.org/officeDocument/2006/relationships/hyperlink" Id="rId52"/>
    <Relationship TargetMode="External" Target="https://www.legis.iowa.gov/docs/ico/chapter/554D.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ac/rule/129.2.4.pdf" Type="http://schemas.openxmlformats.org/officeDocument/2006/relationships/hyperlink" Id="rId55"/>
    <Relationship TargetMode="External" Target="https://www.legis.iowa.gov/docs/iac/rule/129.2.4.pdf" Type="http://schemas.openxmlformats.org/officeDocument/2006/relationships/hyperlink" Id="rId56"/>
    <Relationship TargetMode="External" Target="https://www.legis.iowa.gov/docs/iac/rule/129.2.1.pdf" Type="http://schemas.openxmlformats.org/officeDocument/2006/relationships/hyperlink" Id="rId57"/>
    <Relationship TargetMode="External" Target="https://www.legis.iowa.gov/docs/ico/chapter/8B.pdf" Type="http://schemas.openxmlformats.org/officeDocument/2006/relationships/hyperlink" Id="rId58"/>
    <Relationship TargetMode="External" Target="https://www.legis.iowa.gov/docs/iac/rule/129.2.13.pdf" Type="http://schemas.openxmlformats.org/officeDocument/2006/relationships/hyperlink" Id="rId59"/>
    <Relationship TargetMode="External" Target="https://www.legis.iowa.gov/docs/ico/chapter/22.7.pdf" Type="http://schemas.openxmlformats.org/officeDocument/2006/relationships/hyperlink" Id="rId60"/>
    <Relationship TargetMode="External" Target="https://www.legis.iowa.gov/docs/ico/chapter/8B.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ac/rule/129.2.1.pdf" Type="http://schemas.openxmlformats.org/officeDocument/2006/relationships/hyperlink" Id="rId63"/>
    <Relationship TargetMode="External" Target="https://www.legis.iowa.gov/docs/iac/rule/129.2.13.pdf" Type="http://schemas.openxmlformats.org/officeDocument/2006/relationships/hyperlink" Id="rId64"/>
    <Relationship TargetMode="External" Target="https://www.legis.iowa.gov/docs/ico/chapter/17A.4.pdf" Type="http://schemas.openxmlformats.org/officeDocument/2006/relationships/hyperlink" Id="rId65"/>
    <Relationship TargetMode="External" Target="https://www.legis.iowa.gov/docs/ico/chapter/21.5.pdf" Type="http://schemas.openxmlformats.org/officeDocument/2006/relationships/hyperlink" Id="rId66"/>
    <Relationship TargetMode="External" Target="https://www.legis.iowa.gov/docs/ico/chapter/21.3.pdf" Type="http://schemas.openxmlformats.org/officeDocument/2006/relationships/hyperlink" Id="rId67"/>
    <Relationship TargetMode="External" Target="https://www.legis.iowa.gov/docs/iac/rule/129.2.5.pdf" Type="http://schemas.openxmlformats.org/officeDocument/2006/relationships/hyperlink" Id="rId68"/>
    <Relationship TargetMode="External" Target="https://www.legis.iowa.gov/docs/iac/rule/129.2.12.pdf" Type="http://schemas.openxmlformats.org/officeDocument/2006/relationships/hyperlink" Id="rId69"/>
    <Relationship TargetMode="External" Target="https://www.legis.iowa.gov/docs/ico/chapter/8B.pdf" Type="http://schemas.openxmlformats.org/officeDocument/2006/relationships/hyperlink" Id="rId70"/>
    <Relationship TargetMode="External" Target="https://www.legis.iowa.gov/docs/ico/chapter/22.pdf" Type="http://schemas.openxmlformats.org/officeDocument/2006/relationships/hyperlink" Id="rId71"/>
    <Relationship TargetMode="External" Target="https://www.legis.iowa.gov/docs/ico/chapter/8B.pdf" Type="http://schemas.openxmlformats.org/officeDocument/2006/relationships/hyperlink" Id="rId72"/>
    <Relationship TargetMode="External" Target="https://www.legis.iowa.gov/docs/ico/chapter/17A.pdf" Type="http://schemas.openxmlformats.org/officeDocument/2006/relationships/hyperlink" Id="rId73"/>
    <Relationship TargetMode="External" Target="https://www.legis.iowa.gov/docs/ico/chapter/22.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