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DECLARATORY ORDERS</w:t>
      </w:r>
    </w:p>
    <w:p>
      <w:pPr>
        <w:spacing w:before="0" w:after="0"/>
        <w:ind w:left="120"/>
        <w:jc w:val="center"/>
      </w:pPr>
      <w:r>
        <w:rPr>
          <w:rFonts w:ascii="Times New Roman" w:hAnsi="Times New Roman"/>
          <w:b w:val="false"/>
          <w:i w:val="false"/>
          <w:color w:val="000000"/>
          <w:sz w:val="14"/>
        </w:rPr>
        <w:t>[Prior to 7/1/87, see Blind, Commission for[160] rule 3.2]</w:t>
      </w:r>
    </w:p>
    <w:p>
      <w:pPr>
        <w:spacing w:before="0" w:after="0"/>
        <w:ind w:left="120"/>
        <w:jc w:val="center"/>
      </w:pPr>
      <w:r>
        <w:rPr>
          <w:rFonts w:ascii="Times New Roman" w:hAnsi="Times New Roman"/>
          <w:b w:val="false"/>
          <w:i w:val="false"/>
          <w:color w:val="000000"/>
          <w:sz w:val="14"/>
        </w:rPr>
        <w:t>[Prior to 9/21/88, see Blind, Division for the[423]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111—5.1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Any person may file a petition with the department for a declaratory order as to the applicability to specified circumstances of a statute, rule, or order within the primary jurisdiction of the department at the Administrative Office, Department for the Blind, 524 Fourth Street, Des Moines, Iowa 50309-2364. A petition is deemed filed when it is received by that office. The department shall provide the petitioner with a file-stamped copy of the petition if the petitioner provides the department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DEPARTMENT FOR THE BLIND</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Petition by (Name of Petitioner) for a</w:t>
            </w:r>
          </w:p>
          <w:p>
            <w:pPr>
              <w:spacing w:before="0" w:after="0"/>
              <w:ind w:left="160"/>
              <w:jc w:val="both"/>
            </w:pPr>
            <w:r>
              <w:rPr>
                <w:rFonts w:ascii="Times New Roman" w:hAnsi="Times New Roman"/>
                <w:b w:val="false"/>
                <w:i w:val="false"/>
                <w:color w:val="000000"/>
                <w:sz w:val="16"/>
              </w:rPr>
              <w:t>Declaratory Order on (Cite provisions of</w:t>
            </w:r>
          </w:p>
          <w:p>
            <w:pPr>
              <w:spacing w:before="0" w:after="0"/>
              <w:ind w:left="160"/>
              <w:jc w:val="both"/>
            </w:pPr>
            <w:r>
              <w:rPr>
                <w:rFonts w:ascii="Times New Roman" w:hAnsi="Times New Roman"/>
                <w:b w:val="false"/>
                <w:i w:val="false"/>
                <w:color w:val="000000"/>
                <w:sz w:val="16"/>
              </w:rPr>
              <w:t>law involved).</w:t>
            </w:r>
          </w:p>
        </w:tc>
        <w:tc>
          <w:tcPr>
            <w:tcW w:w="14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664"/>
              <w:jc w:val="both"/>
            </w:pPr>
            <w:r>
              <w:rPr>
                <w:rFonts w:ascii="Times New Roman" w:hAnsi="Times New Roman"/>
                <w:b w:val="false"/>
                <w:i w:val="false"/>
                <w:color w:val="000000"/>
                <w:sz w:val="16"/>
              </w:rPr>
              <w:t>PETITION FOR</w:t>
            </w:r>
          </w:p>
          <w:p>
            <w:pPr>
              <w:spacing w:before="0" w:after="0"/>
              <w:ind w:left="664"/>
              <w:jc w:val="both"/>
            </w:pPr>
            <w:r>
              <w:rPr>
                <w:rFonts w:ascii="Times New Roman" w:hAnsi="Times New Roman"/>
                <w:b w:val="false"/>
                <w:i w:val="false"/>
                <w:color w:val="000000"/>
                <w:sz w:val="16"/>
              </w:rPr>
              <w:t>DECLARATORY ORDER</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questions petitioner wants answered, stated clearly and concisely.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Any request by petitioner for a meeting provided for by </w:t>
      </w:r>
      <w:hyperlink r:id="rId5">
        <w:r>
          <w:rPr>
            <w:rStyle w:val="Hyperlink"/>
            <w:rFonts w:ascii="Times New Roman" w:hAnsi="Times New Roman"/>
            <w:b w:val="false"/>
            <w:i w:val="false"/>
            <w:color w:val="000000"/>
            <w:sz w:val="22"/>
          </w:rPr>
          <w:t>rule 111—5.7(17A)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210" w:after="0"/>
        <w:ind w:left="120"/>
        <w:jc w:val="both"/>
      </w:pPr>
      <w:r>
        <w:rPr>
          <w:rFonts w:ascii="Times New Roman" w:hAnsi="Times New Roman"/>
          <w:b/>
          <w:i w:val="false"/>
          <w:color w:val="000000"/>
          <w:sz w:val="22"/>
        </w:rPr>
        <w:t>111—5.2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 xml:space="preserve">Within ten working days of receipt of a petition for a declaratory order, the department shall give notice of the petition to all persons not served by the petitioner pursuant to </w:t>
      </w:r>
      <w:hyperlink r:id="rId6">
        <w:r>
          <w:rPr>
            <w:rStyle w:val="Hyperlink"/>
            <w:rFonts w:ascii="Times New Roman" w:hAnsi="Times New Roman"/>
            <w:b w:val="false"/>
            <w:i w:val="false"/>
            <w:color w:val="000000"/>
            <w:sz w:val="22"/>
          </w:rPr>
          <w:t>rule 111—5.6(17A)</w:t>
        </w:r>
      </w:hyperlink>
      <w:r>
        <w:rPr>
          <w:rFonts w:ascii="Times New Roman" w:hAnsi="Times New Roman"/>
          <w:b w:val="false"/>
          <w:i w:val="false"/>
          <w:color w:val="000000"/>
          <w:sz w:val="22"/>
        </w:rPr>
        <w:t xml:space="preserve"> to whom notice is required by any provision of law.</w:t>
      </w:r>
    </w:p>
    <w:p>
      <w:pPr>
        <w:spacing w:before="0" w:after="0"/>
        <w:ind w:left="120"/>
        <w:jc w:val="both"/>
      </w:pPr>
      <w:r>
        <w:rPr>
          <w:rFonts w:ascii="Times New Roman" w:hAnsi="Times New Roman"/>
          <w:b/>
          <w:i w:val="false"/>
          <w:color w:val="000000"/>
          <w:sz w:val="22"/>
        </w:rPr>
        <w:t>111—5.3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Nondiscretionary intervention. </w:t>
      </w:r>
      <w:r>
        <w:rPr>
          <w:rFonts w:ascii="Times New Roman" w:hAnsi="Times New Roman"/>
          <w:b w:val="false"/>
          <w:i w:val="false"/>
          <w:color w:val="000000"/>
          <w:sz w:val="22"/>
        </w:rPr>
        <w:t xml:space="preserve">Persons who qualify under any applicable provision of law as an intervenor and who file a petition for intervention within 15 working days of the filing of a petition for declaratory order and before the 30-day time period for department action under rule 111— </w:t>
      </w:r>
      <w:hyperlink r:id="rId7">
        <w:r>
          <w:rPr>
            <w:rStyle w:val="Hyperlink"/>
            <w:rFonts w:ascii="Times New Roman" w:hAnsi="Times New Roman"/>
            <w:b w:val="false"/>
            <w:i w:val="false"/>
            <w:color w:val="000000"/>
            <w:sz w:val="22"/>
          </w:rPr>
          <w:t>5.8(17A)</w:t>
        </w:r>
      </w:hyperlink>
      <w:r>
        <w:rPr>
          <w:rFonts w:ascii="Times New Roman" w:hAnsi="Times New Roman"/>
          <w:b w:val="false"/>
          <w:i w:val="false"/>
          <w:color w:val="000000"/>
          <w:sz w:val="22"/>
        </w:rPr>
        <w:t xml:space="preserve">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Discretionary intervention.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color w:val="000000"/>
          <w:sz w:val="22"/>
        </w:rPr>
        <w:t xml:space="preserve">Filing and form of petition for intervention. </w:t>
      </w:r>
      <w:r>
        <w:rPr>
          <w:rFonts w:ascii="Times New Roman" w:hAnsi="Times New Roman"/>
          <w:b w:val="false"/>
          <w:i w:val="false"/>
          <w:color w:val="000000"/>
          <w:sz w:val="22"/>
        </w:rPr>
        <w:t>A petition for intervention shall be filed at the administrative office. A petition is deemed filed when it is received by that office. The department shall provide the petitioner with a file-stamped copy of the petition for intervention if the petitioner provides an extra copy for this purpose. A petition for intervention must be typewritten or legibly handwritten in ink and should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BEFORE DEPARTMENT FOR THE BLIND</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both"/>
            </w:pPr>
            <w:r>
              <w:rPr>
                <w:rFonts w:ascii="Times New Roman" w:hAnsi="Times New Roman"/>
                <w:b w:val="false"/>
                <w:i w:val="false"/>
                <w:color w:val="000000"/>
                <w:sz w:val="16"/>
              </w:rPr>
              <w:t>Petition by (Name of Original Petitioner)</w:t>
            </w:r>
          </w:p>
          <w:p>
            <w:pPr>
              <w:spacing w:before="0" w:after="0"/>
              <w:ind w:left="160"/>
              <w:jc w:val="both"/>
            </w:pPr>
            <w:r>
              <w:rPr>
                <w:rFonts w:ascii="Times New Roman" w:hAnsi="Times New Roman"/>
                <w:b w:val="false"/>
                <w:i w:val="false"/>
                <w:color w:val="000000"/>
                <w:sz w:val="16"/>
              </w:rPr>
              <w:t>for a Declaratory Order to (Cite provisions</w:t>
            </w:r>
          </w:p>
          <w:p>
            <w:pPr>
              <w:spacing w:before="0" w:after="0"/>
              <w:ind w:left="160"/>
              <w:jc w:val="both"/>
            </w:pPr>
            <w:r>
              <w:rPr>
                <w:rFonts w:ascii="Times New Roman" w:hAnsi="Times New Roman"/>
                <w:b w:val="false"/>
                <w:i w:val="false"/>
                <w:color w:val="000000"/>
                <w:sz w:val="16"/>
              </w:rPr>
              <w:t>of law cited in original petition).</w:t>
            </w:r>
          </w:p>
        </w:tc>
        <w:tc>
          <w:tcPr>
            <w:tcW w:w="149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880"/>
              <w:jc w:val="both"/>
            </w:pPr>
            <w:r>
              <w:rPr>
                <w:rFonts w:ascii="Times New Roman" w:hAnsi="Times New Roman"/>
                <w:b w:val="false"/>
                <w:i w:val="false"/>
                <w:color w:val="000000"/>
                <w:sz w:val="16"/>
              </w:rPr>
              <w:t>PETITION FOR</w:t>
            </w:r>
          </w:p>
          <w:p>
            <w:pPr>
              <w:spacing w:before="0" w:after="0"/>
              <w:ind w:left="880"/>
              <w:jc w:val="both"/>
            </w:pPr>
            <w:r>
              <w:rPr>
                <w:rFonts w:ascii="Times New Roman" w:hAnsi="Times New Roman"/>
                <w:b w:val="false"/>
                <w:i w:val="false"/>
                <w:color w:val="000000"/>
                <w:sz w:val="16"/>
              </w:rPr>
              <w:t>INTERVENTION</w:t>
            </w:r>
          </w:p>
        </w:tc>
      </w:tr>
    </w:tbl>
    <w:p>
      <w:pPr>
        <w:spacing w:before="0" w:after="0"/>
        <w:ind w:left="120"/>
        <w:jc w:val="both"/>
      </w:pP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The petition must be dated and signed by the intervenor or the intervenor’s representative. It must also include the name, mailing address, and telephone number of the intervenor and intervenor’s representative, and a statement indicating the person to whom communications should be directed.</w:t>
      </w:r>
    </w:p>
    <w:p>
      <w:pPr>
        <w:spacing w:before="210" w:after="0"/>
        <w:ind w:left="120"/>
        <w:jc w:val="both"/>
      </w:pPr>
      <w:r>
        <w:rPr>
          <w:rFonts w:ascii="Times New Roman" w:hAnsi="Times New Roman"/>
          <w:b/>
          <w:i w:val="false"/>
          <w:color w:val="000000"/>
          <w:sz w:val="22"/>
        </w:rPr>
        <w:t>111—5.4</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or any intervenor may file a brief in support of the position urged. The department may request a brief from the petitioner, any intervenor, or any other person concerning the questions raised.</w:t>
      </w:r>
    </w:p>
    <w:p>
      <w:pPr>
        <w:spacing w:before="210" w:after="0"/>
        <w:ind w:left="120"/>
        <w:jc w:val="both"/>
      </w:pPr>
      <w:r>
        <w:rPr>
          <w:rFonts w:ascii="Times New Roman" w:hAnsi="Times New Roman"/>
          <w:b/>
          <w:i w:val="false"/>
          <w:color w:val="000000"/>
          <w:sz w:val="22"/>
        </w:rPr>
        <w:t>111—5.5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declaratory order proceeding may be made to the Director, Department for the Blind, 524 Fourth Street, Des Moines, Iowa 50309-2364.</w:t>
      </w:r>
    </w:p>
    <w:p>
      <w:pPr>
        <w:spacing w:before="0" w:after="0"/>
        <w:ind w:left="120"/>
        <w:jc w:val="both"/>
      </w:pPr>
      <w:r>
        <w:rPr>
          <w:rFonts w:ascii="Times New Roman" w:hAnsi="Times New Roman"/>
          <w:b/>
          <w:i w:val="false"/>
          <w:color w:val="000000"/>
          <w:sz w:val="22"/>
        </w:rPr>
        <w:t>111—5.6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w:t>
      </w: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by mailing or personal delivery upon each of the parties of record to the proceeding, and on all other persons identified as affected by or interested in the question presented, simultaneously with its filing. The party filing a document is responsible for service on all parties and other affected or interested persons. All documents filed shall indicate all parties or other persons served and the date and method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All petitions for declaratory orders, petitions for intervention, briefs, or other papers in a proceeding for a declaratory order shall be filed with the Administrative Office, Department for the Blind, 524 Fourth Street, Des Moines, Iowa 50309-2364. All documents are considered filed upon receipt.</w:t>
      </w:r>
    </w:p>
    <w:p>
      <w:pPr>
        <w:spacing w:before="210" w:after="0"/>
        <w:ind w:left="120"/>
        <w:jc w:val="both"/>
      </w:pPr>
      <w:r>
        <w:rPr>
          <w:rFonts w:ascii="Times New Roman" w:hAnsi="Times New Roman"/>
          <w:b/>
          <w:i w:val="false"/>
          <w:color w:val="000000"/>
          <w:sz w:val="22"/>
        </w:rPr>
        <w:t>111—5.7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the petitioner, the department must schedule a brief and informal meeting between the original petitioner, all intervenors, and a member of the staff of the department to discuss the questions raised. The department may solicit comments from any person on the questions raised. Also, comments on the questions raised may be submitted to the department by any person.</w:t>
      </w:r>
    </w:p>
    <w:p>
      <w:pPr>
        <w:spacing w:before="0" w:after="0"/>
        <w:ind w:left="120"/>
        <w:jc w:val="both"/>
      </w:pPr>
      <w:r>
        <w:rPr>
          <w:rFonts w:ascii="Times New Roman" w:hAnsi="Times New Roman"/>
          <w:b/>
          <w:i w:val="false"/>
          <w:color w:val="000000"/>
          <w:sz w:val="22"/>
        </w:rPr>
        <w:t>111—5.8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w:t>
      </w:r>
      <w:r>
        <w:rPr>
          <w:rFonts w:ascii="Times New Roman" w:hAnsi="Times New Roman"/>
          <w:b w:val="false"/>
          <w:i w:val="false"/>
          <w:color w:val="000000"/>
          <w:sz w:val="22"/>
        </w:rPr>
        <w:t> </w:t>
      </w:r>
      <w:r>
        <w:rPr>
          <w:rFonts w:ascii="Times New Roman" w:hAnsi="Times New Roman"/>
          <w:b w:val="false"/>
          <w:i/>
          <w:color w:val="000000"/>
          <w:sz w:val="22"/>
        </w:rPr>
        <w:t xml:space="preserve">Time frame for action. </w:t>
      </w:r>
      <w:r>
        <w:rPr>
          <w:rFonts w:ascii="Times New Roman" w:hAnsi="Times New Roman"/>
          <w:b w:val="false"/>
          <w:i w:val="false"/>
          <w:color w:val="000000"/>
          <w:sz w:val="22"/>
        </w:rPr>
        <w:t xml:space="preserve">Within 30 days after receipt of a petition for a declaratory order, the director or the director’s designee shall take action on the petition as required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w:t>
      </w:r>
      <w:r>
        <w:rPr>
          <w:rFonts w:ascii="Times New Roman" w:hAnsi="Times New Roman"/>
          <w:b w:val="false"/>
          <w:i w:val="false"/>
          <w:color w:val="000000"/>
          <w:sz w:val="22"/>
        </w:rPr>
        <w:t> </w:t>
      </w:r>
      <w:r>
        <w:rPr>
          <w:rFonts w:ascii="Times New Roman" w:hAnsi="Times New Roman"/>
          <w:b w:val="false"/>
          <w:i/>
          <w:color w:val="000000"/>
          <w:sz w:val="22"/>
        </w:rPr>
        <w:t xml:space="preserve">Date of issuance of order. </w:t>
      </w:r>
      <w:r>
        <w:rPr>
          <w:rFonts w:ascii="Times New Roman" w:hAnsi="Times New Roman"/>
          <w:b w:val="false"/>
          <w:i w:val="false"/>
          <w:color w:val="000000"/>
          <w:sz w:val="22"/>
        </w:rPr>
        <w:t>The date of issuance of an order or of a refusal to issue an order is the date of mailing of the order or refusal or the date of delivery if service is by other means unless another date is specified in the order.</w:t>
      </w:r>
    </w:p>
    <w:p>
      <w:pPr>
        <w:spacing w:before="0" w:after="0"/>
        <w:ind w:left="120"/>
        <w:jc w:val="both"/>
      </w:pPr>
      <w:r>
        <w:rPr>
          <w:rFonts w:ascii="Times New Roman" w:hAnsi="Times New Roman"/>
          <w:b/>
          <w:i w:val="false"/>
          <w:color w:val="000000"/>
          <w:sz w:val="22"/>
        </w:rPr>
        <w:t>111—5.9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color w:val="000000"/>
          <w:sz w:val="22"/>
        </w:rPr>
        <w:t xml:space="preserve">Reasons for refusal to issue order. </w:t>
      </w:r>
      <w:r>
        <w:rPr>
          <w:rFonts w:ascii="Times New Roman" w:hAnsi="Times New Roman"/>
          <w:b w:val="false"/>
          <w:i w:val="false"/>
          <w:color w:val="000000"/>
          <w:sz w:val="22"/>
        </w:rPr>
        <w:t xml:space="preserve">The department shall not issue a declaratory order where prohibited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13(1),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conform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department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department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department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the department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color w:val="000000"/>
          <w:sz w:val="22"/>
        </w:rPr>
        <w:t xml:space="preserve">Action on refusal. </w:t>
      </w:r>
      <w:r>
        <w:rPr>
          <w:rFonts w:ascii="Times New Roman" w:hAnsi="Times New Roman"/>
          <w:b w:val="false"/>
          <w:i w:val="false"/>
          <w:color w:val="000000"/>
          <w:sz w:val="22"/>
        </w:rPr>
        <w:t>A refusal to issue a declaratory order must indicate the specific grounds for the refusal and constitutes final department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w:t>
      </w:r>
      <w:r>
        <w:rPr>
          <w:rFonts w:ascii="Times New Roman" w:hAnsi="Times New Roman"/>
          <w:b w:val="false"/>
          <w:i w:val="false"/>
          <w:color w:val="000000"/>
          <w:sz w:val="22"/>
        </w:rPr>
        <w:t> </w:t>
      </w:r>
      <w:r>
        <w:rPr>
          <w:rFonts w:ascii="Times New Roman" w:hAnsi="Times New Roman"/>
          <w:b w:val="false"/>
          <w:i/>
          <w:color w:val="000000"/>
          <w:sz w:val="22"/>
        </w:rPr>
        <w:t xml:space="preserve">Filing of new petition.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department’s refusal to issue an order.</w:t>
      </w:r>
    </w:p>
    <w:p>
      <w:pPr>
        <w:spacing w:before="0" w:after="0"/>
        <w:ind w:left="120"/>
        <w:jc w:val="both"/>
      </w:pPr>
      <w:r>
        <w:rPr>
          <w:rFonts w:ascii="Times New Roman" w:hAnsi="Times New Roman"/>
          <w:b/>
          <w:i w:val="false"/>
          <w:color w:val="000000"/>
          <w:sz w:val="22"/>
        </w:rPr>
        <w:t>111—5.10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Contents of declaratory order—effective date. </w:t>
      </w:r>
      <w:r>
        <w:rPr>
          <w:rFonts w:ascii="Times New Roman" w:hAnsi="Times New Roman"/>
          <w:b w:val="false"/>
          <w:i w:val="false"/>
          <w:color w:val="000000"/>
          <w:sz w:val="22"/>
        </w:rPr>
        <w:t>In addition to the order itself, a declaratory order must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A declaratory order is effective on the date of issuance.</w:t>
      </w:r>
    </w:p>
    <w:p>
      <w:pPr>
        <w:spacing w:before="210" w:after="0"/>
        <w:ind w:left="120"/>
        <w:jc w:val="both"/>
      </w:pPr>
      <w:r>
        <w:rPr>
          <w:rFonts w:ascii="Times New Roman" w:hAnsi="Times New Roman"/>
          <w:b/>
          <w:i w:val="false"/>
          <w:color w:val="000000"/>
          <w:sz w:val="22"/>
        </w:rPr>
        <w:t>111—5.11</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orders. </w:t>
      </w:r>
      <w:r>
        <w:rPr>
          <w:rFonts w:ascii="Times New Roman" w:hAnsi="Times New Roman"/>
          <w:b w:val="false"/>
          <w:i w:val="false"/>
          <w:color w:val="000000"/>
          <w:sz w:val="22"/>
        </w:rPr>
        <w:t>A copy of all orders issued in response to a petition for a declaratory order shall be mailed promptly to the original petitioner and all intervenors.</w:t>
      </w:r>
    </w:p>
    <w:p>
      <w:pPr>
        <w:spacing w:before="210" w:after="0"/>
        <w:ind w:left="120"/>
        <w:jc w:val="both"/>
      </w:pPr>
      <w:r>
        <w:rPr>
          <w:rFonts w:ascii="Times New Roman" w:hAnsi="Times New Roman"/>
          <w:b/>
          <w:i w:val="false"/>
          <w:color w:val="000000"/>
          <w:sz w:val="22"/>
        </w:rPr>
        <w:t>111—5.12</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It is binding on the department, the petitioner, and any intervenors who consent to be bound and is applicable only in circumstances where the relevant facts and the law involved are indistinguishable from those on which the order was based. As to all other persons, a declaratory order serves only as precedent and is not binding on the department. The issuance of a declaratory order constitutes final department action on the petition.</w:t>
      </w:r>
    </w:p>
    <w:p>
      <w:pPr>
        <w:spacing w:before="210" w:after="0"/>
        <w:ind w:left="120"/>
        <w:jc w:val="both"/>
      </w:pPr>
      <w:r>
        <w:rPr>
          <w:rFonts w:ascii="Times New Roman" w:hAnsi="Times New Roman"/>
          <w:b/>
          <w:i w:val="false"/>
          <w:color w:val="000000"/>
          <w:sz w:val="22"/>
        </w:rPr>
        <w:t>111—5.13</w:t>
      </w:r>
      <w:r>
        <w:rPr>
          <w:rFonts w:ascii="Times New Roman" w:hAnsi="Times New Roman"/>
          <w:b/>
          <w:i w:val="false"/>
          <w:color w:val="000000"/>
          <w:sz w:val="22"/>
        </w:rPr>
        <w:t xml:space="preserve">(17A) </w:t>
      </w:r>
      <w:r>
        <w:rPr>
          <w:rFonts w:ascii="Times New Roman" w:hAnsi="Times New Roman"/>
          <w:b/>
          <w:i w:val="false"/>
          <w:color w:val="000000"/>
          <w:sz w:val="22"/>
        </w:rPr>
        <w:t xml:space="preserve">Programs exempted. </w:t>
      </w:r>
      <w:r>
        <w:rPr>
          <w:rFonts w:ascii="Times New Roman" w:hAnsi="Times New Roman"/>
          <w:b w:val="false"/>
          <w:i w:val="false"/>
          <w:color w:val="000000"/>
          <w:sz w:val="22"/>
        </w:rPr>
        <w:t>The vocational rehabilitation services and business enterprises programs are required by federal regulations to conform to similar proceedings delineated by their respective federal government grantor agencies. Therefore, the provisions of this chapter are not applicable to those programs.</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section 13.</w:t>
      </w:r>
    </w:p>
    <w:p>
      <w:pPr>
        <w:spacing w:before="0" w:after="0"/>
        <w:ind w:left="120"/>
        <w:jc w:val="center"/>
      </w:pPr>
      <w:r>
        <w:rPr>
          <w:rFonts w:ascii="Times New Roman" w:hAnsi="Times New Roman"/>
          <w:b w:val="false"/>
          <w:i w:val="false"/>
          <w:color w:val="000000"/>
          <w:sz w:val="21"/>
        </w:rPr>
        <w:t>[Filed 9/23/76, Notice 8/9/76—published 10/20/76, effective 11/24/76]</w:t>
      </w:r>
    </w:p>
    <w:p>
      <w:pPr>
        <w:spacing w:before="0" w:after="0"/>
        <w:ind w:left="120"/>
        <w:jc w:val="center"/>
      </w:pPr>
      <w:r>
        <w:rPr>
          <w:rFonts w:ascii="Times New Roman" w:hAnsi="Times New Roman"/>
          <w:b w:val="false"/>
          <w:i w:val="false"/>
          <w:color w:val="000000"/>
          <w:sz w:val="21"/>
        </w:rPr>
        <w:t>[Filed 9/17/79, Notice 6/13/79—published 10/3/79, effective 11/7/79]</w:t>
      </w:r>
    </w:p>
    <w:p>
      <w:pPr>
        <w:spacing w:before="0" w:after="0"/>
        <w:ind w:left="120"/>
        <w:jc w:val="center"/>
      </w:pPr>
      <w:r>
        <w:rPr>
          <w:rFonts w:ascii="Times New Roman" w:hAnsi="Times New Roman"/>
          <w:b w:val="false"/>
          <w:i w:val="false"/>
          <w:color w:val="000000"/>
          <w:sz w:val="21"/>
        </w:rPr>
        <w:t>[Filed 8/24/84, Notice 3/14/84—published 9/12/84, effective 10/18/84]</w:t>
      </w:r>
    </w:p>
    <w:p>
      <w:pPr>
        <w:spacing w:before="0" w:after="0"/>
        <w:ind w:left="120"/>
        <w:jc w:val="center"/>
      </w:pPr>
      <w:r>
        <w:rPr>
          <w:rFonts w:ascii="Times New Roman" w:hAnsi="Times New Roman"/>
          <w:b w:val="false"/>
          <w:i w:val="false"/>
          <w:color w:val="000000"/>
          <w:sz w:val="21"/>
        </w:rPr>
        <w:t>[Filed 6/9/87, Notice 3/25/87—published 7/1/87, effective 8/5/87]</w:t>
      </w:r>
    </w:p>
    <w:p>
      <w:pPr>
        <w:spacing w:before="0" w:after="0"/>
        <w:ind w:left="120"/>
        <w:jc w:val="center"/>
      </w:pPr>
      <w:r>
        <w:rPr>
          <w:rFonts w:ascii="Times New Roman" w:hAnsi="Times New Roman"/>
          <w:b w:val="false"/>
          <w:i w:val="false"/>
          <w:color w:val="000000"/>
          <w:sz w:val="21"/>
        </w:rPr>
        <w:t>[Filed emergency 9/1/88—published 9/21/88, effective 9/1/88]</w:t>
      </w:r>
    </w:p>
    <w:p>
      <w:pPr>
        <w:spacing w:before="0" w:after="0"/>
        <w:ind w:left="120"/>
        <w:jc w:val="center"/>
      </w:pPr>
      <w:r>
        <w:rPr>
          <w:rFonts w:ascii="Times New Roman" w:hAnsi="Times New Roman"/>
          <w:b w:val="false"/>
          <w:i w:val="false"/>
          <w:color w:val="000000"/>
          <w:sz w:val="21"/>
        </w:rPr>
        <w:t>[Filed 3/24/99, Notice 2/24/99—published 4/21/99, effective 5/26/99]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11.5.7.pdf" Type="http://schemas.openxmlformats.org/officeDocument/2006/relationships/hyperlink" Id="rId5"/>
    <Relationship TargetMode="External" Target="https://www.legis.iowa.gov/docs/iac/rule/111.5.6.pdf" Type="http://schemas.openxmlformats.org/officeDocument/2006/relationships/hyperlink" Id="rId6"/>
    <Relationship TargetMode="External" Target="https://www.legis.iowa.gov/docs/iac/rule/111.5.8.pdf" Type="http://schemas.openxmlformats.org/officeDocument/2006/relationships/hyperlink" Id="rId7"/>
    <Relationship TargetMode="External" Target="https://www.legis.iowa.gov/docs/ico/chapter/17A.9.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