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PETITIONS FOR RULE MAKING</w:t>
      </w:r>
    </w:p>
    <w:p>
      <w:pPr>
        <w:spacing w:before="0" w:after="0"/>
        <w:ind w:left="120"/>
        <w:jc w:val="center"/>
      </w:pPr>
      <w:r>
        <w:rPr>
          <w:rFonts w:ascii="Times New Roman" w:hAnsi="Times New Roman"/>
          <w:b w:val="false"/>
          <w:i w:val="false"/>
          <w:color w:val="000000"/>
          <w:sz w:val="14"/>
        </w:rPr>
        <w:t>[Prior to 7/1/87, see Blind, Commission for[160] rule 3.1]</w:t>
      </w:r>
    </w:p>
    <w:p>
      <w:pPr>
        <w:spacing w:before="0" w:after="0"/>
        <w:ind w:left="120"/>
        <w:jc w:val="center"/>
      </w:pPr>
      <w:r>
        <w:rPr>
          <w:rFonts w:ascii="Times New Roman" w:hAnsi="Times New Roman"/>
          <w:b w:val="false"/>
          <w:i w:val="false"/>
          <w:color w:val="000000"/>
          <w:sz w:val="14"/>
        </w:rPr>
        <w:t>[Prior to 9/21/88, see Blind, Division for the[423]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111—4.1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 making. </w:t>
      </w:r>
      <w:r>
        <w:rPr>
          <w:rFonts w:ascii="Times New Roman" w:hAnsi="Times New Roman"/>
          <w:b w:val="false"/>
          <w:i w:val="false"/>
          <w:color w:val="000000"/>
          <w:sz w:val="22"/>
        </w:rPr>
        <w:t>Any person or state agency may file a petition for rule making with the Department for the Blind, 524 Fourth Street, Des Moines, Iowa 50309. A petition is deemed filed when it is received by that office. The department must provide the petitioner with a file-stamped copy of the petition if the petitioner provides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BEFORE DEPARTMENT FOR THE BLIND</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Petition by (Name of Petitioner) for the</w:t>
            </w:r>
          </w:p>
          <w:p>
            <w:pPr>
              <w:spacing w:before="0" w:after="0"/>
              <w:ind w:left="160"/>
              <w:jc w:val="both"/>
            </w:pPr>
            <w:r>
              <w:rPr>
                <w:rFonts w:ascii="Times New Roman" w:hAnsi="Times New Roman"/>
                <w:b w:val="false"/>
                <w:i w:val="false"/>
                <w:color w:val="000000"/>
                <w:sz w:val="16"/>
              </w:rPr>
              <w:t>(adoption, amendment, or repeal) of rules</w:t>
            </w:r>
          </w:p>
          <w:p>
            <w:pPr>
              <w:spacing w:before="0" w:after="0"/>
              <w:ind w:left="160"/>
              <w:jc w:val="both"/>
            </w:pPr>
            <w:r>
              <w:rPr>
                <w:rFonts w:ascii="Times New Roman" w:hAnsi="Times New Roman"/>
                <w:b w:val="false"/>
                <w:i w:val="false"/>
                <w:color w:val="000000"/>
                <w:sz w:val="16"/>
              </w:rPr>
              <w:t>relating to (state subject matter).</w:t>
            </w:r>
          </w:p>
        </w:tc>
        <w:tc>
          <w:tcPr>
            <w:tcW w:w="14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880"/>
              <w:jc w:val="both"/>
            </w:pPr>
            <w:r>
              <w:rPr>
                <w:rFonts w:ascii="Times New Roman" w:hAnsi="Times New Roman"/>
                <w:b w:val="false"/>
                <w:i w:val="false"/>
                <w:color w:val="000000"/>
                <w:sz w:val="16"/>
              </w:rPr>
              <w:t>PETITION FOR</w:t>
            </w:r>
          </w:p>
          <w:p>
            <w:pPr>
              <w:spacing w:before="0" w:after="0"/>
              <w:ind w:left="880"/>
              <w:jc w:val="both"/>
            </w:pPr>
            <w:r>
              <w:rPr>
                <w:rFonts w:ascii="Times New Roman" w:hAnsi="Times New Roman"/>
                <w:b w:val="false"/>
                <w:i w:val="false"/>
                <w:color w:val="000000"/>
                <w:sz w:val="16"/>
              </w:rPr>
              <w:t>RULE MAKING</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specific rule-making action sought by the petitioner including the text or a summary of the contents of the proposed rule or amendment to a rule and, if it is a petition to amend or repeal a rule, a citation and the relevant language to the particular portion or portions of the rule proposed to be amended or repealed.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to any law deemed relevant to the department’s authority to take the action urged or to the desirability of that action.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brief summary of petitioner’s arguments in support of the action urged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brief summary of any data supporting the action urged in the petition.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other persons, or a description of any class of persons, known by petitioner to be affected by, or interested in, the proposed action which is the subject of the petition.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Any request by petitioner for a meeting provided for by </w:t>
      </w:r>
      <w:hyperlink r:id="rId5">
        <w:r>
          <w:rPr>
            <w:rStyle w:val="Hyperlink"/>
            <w:rFonts w:ascii="Times New Roman" w:hAnsi="Times New Roman"/>
            <w:b w:val="false"/>
            <w:i w:val="false"/>
            <w:color w:val="000000"/>
            <w:sz w:val="22"/>
          </w:rPr>
          <w:t>rule 4.4(17A)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val="false"/>
          <w:color w:val="000000"/>
          <w:sz w:val="22"/>
        </w:rPr>
        <w:t>The department may deny a petition because it does not substantially conform to the required form.</w:t>
      </w:r>
    </w:p>
    <w:p>
      <w:pPr>
        <w:spacing w:before="210" w:after="0"/>
        <w:ind w:left="120"/>
        <w:jc w:val="both"/>
      </w:pPr>
      <w:r>
        <w:rPr>
          <w:rFonts w:ascii="Times New Roman" w:hAnsi="Times New Roman"/>
          <w:b/>
          <w:i w:val="false"/>
          <w:color w:val="000000"/>
          <w:sz w:val="22"/>
        </w:rPr>
        <w:t>111—4.2</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may attach a brief to the petition in support of the action urged in the petition. The department may request a brief from the petitioner or from any other person concerning the substance of the petition.</w:t>
      </w:r>
    </w:p>
    <w:p>
      <w:pPr>
        <w:spacing w:before="210" w:after="0"/>
        <w:ind w:left="120"/>
        <w:jc w:val="both"/>
      </w:pPr>
      <w:r>
        <w:rPr>
          <w:rFonts w:ascii="Times New Roman" w:hAnsi="Times New Roman"/>
          <w:b/>
          <w:i w:val="false"/>
          <w:color w:val="000000"/>
          <w:sz w:val="22"/>
        </w:rPr>
        <w:t>111—4.3</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petition for rule making may be made to Director, Department for the Blind, 524 Fourth Street, Des Moines, Iowa 50309-2364.</w:t>
      </w:r>
    </w:p>
    <w:p>
      <w:pPr>
        <w:spacing w:before="0" w:after="0"/>
        <w:ind w:left="120"/>
        <w:jc w:val="both"/>
      </w:pPr>
      <w:r>
        <w:rPr>
          <w:rFonts w:ascii="Times New Roman" w:hAnsi="Times New Roman"/>
          <w:b/>
          <w:i w:val="false"/>
          <w:color w:val="000000"/>
          <w:sz w:val="22"/>
        </w:rPr>
        <w:t>111—4.4</w:t>
      </w:r>
      <w:r>
        <w:rPr>
          <w:rFonts w:ascii="Times New Roman" w:hAnsi="Times New Roman"/>
          <w:b/>
          <w:i w:val="false"/>
          <w:color w:val="000000"/>
          <w:sz w:val="22"/>
        </w:rPr>
        <w:t xml:space="preserve">(17A) </w:t>
      </w:r>
      <w:r>
        <w:rPr>
          <w:rFonts w:ascii="Times New Roman" w:hAnsi="Times New Roman"/>
          <w:b/>
          <w:i w:val="false"/>
          <w:color w:val="000000"/>
          <w:sz w:val="22"/>
        </w:rPr>
        <w:t xml:space="preserve">Department 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color w:val="000000"/>
          <w:sz w:val="22"/>
        </w:rPr>
        <w:t xml:space="preserve">Forwarding of petition and meeting. </w:t>
      </w:r>
      <w:r>
        <w:rPr>
          <w:rFonts w:ascii="Times New Roman" w:hAnsi="Times New Roman"/>
          <w:b w:val="false"/>
          <w:i w:val="false"/>
          <w:color w:val="000000"/>
          <w:sz w:val="22"/>
        </w:rPr>
        <w:t>Within 14 days after the filing of a petition, the department shall submit a copy of the petition and any accompanying brief to the administrative rules coordinator and to the administrative rules review committee. Upon request by the petitioner in the petition, the department shall schedule a brief and informal meeting between the petitioner and a member of the staff of the department or a member of the commission to discuss the petition. The department may request the petitioner to submit additional information or argument concerning the petition. Also, comments on the substance of the petition may be submitted to the department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color w:val="000000"/>
          <w:sz w:val="22"/>
        </w:rPr>
        <w:t xml:space="preserve">Action on petition. </w:t>
      </w:r>
      <w:r>
        <w:rPr>
          <w:rFonts w:ascii="Times New Roman" w:hAnsi="Times New Roman"/>
          <w:b w:val="false"/>
          <w:i w:val="false"/>
          <w:color w:val="000000"/>
          <w:sz w:val="22"/>
        </w:rPr>
        <w:t>Within 60 days after the filing of the petition, or within any longer period agreed to by the petitioner, the department shall, in writing, deny the petition and notify the petitioner of its action and the specific grounds for the denial or grant the petition and notify petitioner that it has instituted rule-making proceedings on the subject of the petition. Petitioner shall be deemed notified of the denial or grant of the petition on the date when the department mails or delivers the required notification to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w:t>
      </w:r>
      <w:r>
        <w:rPr>
          <w:rFonts w:ascii="Times New Roman" w:hAnsi="Times New Roman"/>
          <w:b w:val="false"/>
          <w:i w:val="false"/>
          <w:color w:val="000000"/>
          <w:sz w:val="22"/>
        </w:rPr>
        <w:t> </w:t>
      </w:r>
      <w:r>
        <w:rPr>
          <w:rFonts w:ascii="Times New Roman" w:hAnsi="Times New Roman"/>
          <w:b w:val="false"/>
          <w:i/>
          <w:color w:val="000000"/>
          <w:sz w:val="22"/>
        </w:rPr>
        <w:t xml:space="preserve">Denial of a petition for nonconformance with form. </w:t>
      </w:r>
      <w:r>
        <w:rPr>
          <w:rFonts w:ascii="Times New Roman" w:hAnsi="Times New Roman"/>
          <w:b w:val="false"/>
          <w:i w:val="false"/>
          <w:color w:val="000000"/>
          <w:sz w:val="22"/>
        </w:rPr>
        <w:t>Denial of a petition because it does not substantially conform to the required form does not preclude the filing of a new petition on the same subject that seeks to eliminate the grounds for the department’s rejection of the petition.</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11.</w:t>
      </w:r>
    </w:p>
    <w:p>
      <w:pPr>
        <w:spacing w:before="0" w:after="0"/>
        <w:ind w:left="120"/>
        <w:jc w:val="center"/>
      </w:pPr>
      <w:r>
        <w:rPr>
          <w:rFonts w:ascii="Times New Roman" w:hAnsi="Times New Roman"/>
          <w:b w:val="false"/>
          <w:i w:val="false"/>
          <w:color w:val="000000"/>
          <w:sz w:val="21"/>
        </w:rPr>
        <w:t>[Filed 9/23/76, Notice 8/9/76—published 10/29/76, effective 11/24/76]</w:t>
      </w:r>
    </w:p>
    <w:p>
      <w:pPr>
        <w:spacing w:before="0" w:after="0"/>
        <w:ind w:left="120"/>
        <w:jc w:val="center"/>
      </w:pPr>
      <w:r>
        <w:rPr>
          <w:rFonts w:ascii="Times New Roman" w:hAnsi="Times New Roman"/>
          <w:b w:val="false"/>
          <w:i w:val="false"/>
          <w:color w:val="000000"/>
          <w:sz w:val="21"/>
        </w:rPr>
        <w:t>[Filed 6/9/87, Notice 3/25/87—published 7/1/87, effective 8/5/87]</w:t>
      </w:r>
    </w:p>
    <w:p>
      <w:pPr>
        <w:spacing w:before="0" w:after="0"/>
        <w:ind w:left="120"/>
        <w:jc w:val="center"/>
      </w:pPr>
      <w:r>
        <w:rPr>
          <w:rFonts w:ascii="Times New Roman" w:hAnsi="Times New Roman"/>
          <w:b w:val="false"/>
          <w:i w:val="false"/>
          <w:color w:val="000000"/>
          <w:sz w:val="21"/>
        </w:rPr>
        <w:t>[Filed emergency 9/1/88—published 9/21/88, effective 9/1/88]</w:t>
      </w:r>
    </w:p>
    <w:p>
      <w:pPr>
        <w:spacing w:before="0" w:after="0"/>
        <w:ind w:left="120"/>
        <w:jc w:val="center"/>
      </w:pPr>
      <w:r>
        <w:rPr>
          <w:rFonts w:ascii="Times New Roman" w:hAnsi="Times New Roman"/>
          <w:b w:val="false"/>
          <w:i w:val="false"/>
          <w:color w:val="000000"/>
          <w:sz w:val="21"/>
        </w:rPr>
        <w:t>[Filed 3/24/99, Notice 2/24/99—published 4/21/99, effective 5/26/99]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11.4.4.pdf" Type="http://schemas.openxmlformats.org/officeDocument/2006/relationships/hyperlink" Id="rId5"/>
    <Relationship TargetMode="External" Target="https://www.legis.iowa.gov/docs/ico/chapter/17A.7.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