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9/21/88, see Blind, Division for the[423]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111—13.1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these rules means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“Authorization for release of information” </w:t>
      </w:r>
      <w:r>
        <w:rPr>
          <w:rFonts w:ascii="Times New Roman" w:hAnsi="Times New Roman"/>
          <w:b w:val="false"/>
          <w:i w:val="false"/>
          <w:color w:val="000000"/>
          <w:sz w:val="22"/>
        </w:rPr>
        <w:t>means the form prescribed by the agency for the purpose of authorizing the release of a confidential record, signed and dated by the person empowered to release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record” </w:t>
      </w:r>
      <w:r>
        <w:rPr>
          <w:rFonts w:ascii="Times New Roman" w:hAnsi="Times New Roman"/>
          <w:b w:val="false"/>
          <w:i w:val="false"/>
          <w:color w:val="000000"/>
          <w:sz w:val="22"/>
        </w:rPr>
        <w:t>means the file of personally identifiable or confidential information on a client, collected pursuant to the provisions of the Rehabilitation Act of 1973.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an individual who is applying for or who has applied for, or who is receiving or has received, benefits or services under any agency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in these rules 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in these rules means the agency, or a person lawfully delegated authority by the agency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in these rules 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in these rules 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in these rules means the whole or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in these rules means any group of records under the control of the agency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111—13.2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ind w:left="120"/>
        <w:jc w:val="both"/>
      </w:pPr>
      <w:r>
        <w:rPr>
          <w:rFonts w:ascii="Times New Roman" w:hAnsi="Times New Roman"/>
          <w:b/>
          <w:i w:val="false"/>
          <w:color w:val="000000"/>
          <w:sz w:val="22"/>
        </w:rPr>
        <w:t>111—13.3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director of the department for the blind or the particular agency office where the record is kept. If the location of the record is not known by the requester, the request shall be directed to the Department for the Blind, 524 Fourth Street, Des Moines, Iowa 50309. If a request for access to a record is misdirected, agency personnel will promptly forward the request to the appropriate person within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between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by electronic mail, or by telephone. Requests shall identify the particular records sought by name or description in order to facilitate the location of the record. Mail or telephone requests shall include the name, address, and 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9">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3">
        <w:r>
          <w:rPr>
            <w:rStyle w:val="Hyperlink"/>
            <w:rFonts w:ascii="Times New Roman" w:hAnsi="Times New Roman"/>
            <w:b w:val="false"/>
            <w:i w:val="false"/>
            <w:color w:val="000000"/>
            <w:sz w:val="22"/>
          </w:rPr>
          <w:t>111—13.4(17A,22)</w:t>
        </w:r>
      </w:hyperlink>
      <w:r>
        <w:rPr>
          <w:rFonts w:ascii="Times New Roman" w:hAnsi="Times New Roman"/>
          <w:b w:val="false"/>
          <w:i w:val="false"/>
          <w:color w:val="000000"/>
          <w:sz w:val="22"/>
        </w:rPr>
        <w:t xml:space="preserve">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shall,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charged. The agency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Copying and postage costs. Price schedules for published materials and for photocopies of records supplied by the agency shall be prominently posted in agency offices. Copies of records may be made by or for members of the public on agency photocopy machines or from electronic storage systems at cost as determined and posted in agency offices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Supervisory fee. An hourly fee may be charged for actual agency expenses in supervising the examination and copying of requested records when the supervision time required is in excess of one-half hour. The custodian shall prominently post in agency offices the hourly fees to be charged for supervision of records during examination and copying. That hourly fee shall not be in excess of the hourly wage of an agency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Advance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charged under this subrule, the custodian may require advance payment of the full amount of any estimated fee before the custodian processes a new request from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client shall not be charged a search and supervisory fee nor a copying fee for access to the client’s own case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111—13.4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5">
        <w:r>
          <w:rPr>
            <w:rStyle w:val="Hyperlink"/>
            <w:rFonts w:ascii="Times New Roman" w:hAnsi="Times New Roman"/>
            <w:b w:val="false"/>
            <w:i w:val="false"/>
            <w:color w:val="000000"/>
            <w:sz w:val="22"/>
          </w:rPr>
          <w:t>111—13.3(17A,22)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the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111—13.5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agency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agency from treating it as a confidential record. However, if a person who has submitted business information to the agency does not request that it be withheld from public inspection under Iowa Code section </w:t>
      </w:r>
      <w:hyperlink r:id="rId1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210" w:after="0"/>
        <w:ind w:left="120"/>
        <w:jc w:val="both"/>
      </w:pPr>
      <w:r>
        <w:rPr>
          <w:rFonts w:ascii="Times New Roman" w:hAnsi="Times New Roman"/>
          <w:b/>
          <w:i w:val="false"/>
          <w:color w:val="000000"/>
          <w:sz w:val="22"/>
        </w:rPr>
        <w:t>111—13.6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Requester shall send the request to review such a record or the written statement of additions, dissents, or objections to the custodian. The request to review a written statement must be dated and signed by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111—13.7</w:t>
      </w:r>
      <w:r>
        <w:rPr>
          <w:rFonts w:ascii="Times New Roman" w:hAnsi="Times New Roman"/>
          <w:b/>
          <w:i w:val="false"/>
          <w:color w:val="000000"/>
          <w:sz w:val="22"/>
        </w:rPr>
        <w:t xml:space="preserve">(17A,22) </w:t>
      </w:r>
      <w:r>
        <w:rPr>
          <w:rFonts w:ascii="Times New Roman" w:hAnsi="Times New Roman"/>
          <w:b/>
          <w:i w:val="false"/>
          <w:color w:val="000000"/>
          <w:sz w:val="22"/>
        </w:rPr>
        <w:t xml:space="preserve">Authorization for release of information by the subject of a confidential record. </w:t>
      </w:r>
      <w:r>
        <w:rPr>
          <w:rFonts w:ascii="Times New Roman" w:hAnsi="Times New Roman"/>
          <w:b w:val="false"/>
          <w:i w:val="false"/>
          <w:color w:val="000000"/>
          <w:sz w:val="22"/>
        </w:rPr>
        <w:t>The subject of a confidential record may consent to agency disclosure to a third party of that portion of a record concerning the subject by completing an “Authorization for release of information” form. The consent must identify the record or records that may be disclosed; the person, or class of persons, to whom the record or records may be disclosed; and, if applicable, the time period during which the record may be disclosed. The agency may require the subject of the record and the person to whom the record is to be disclosed to provide proof of identity.</w:t>
      </w:r>
    </w:p>
    <w:p>
      <w:pPr>
        <w:spacing w:before="0" w:after="0"/>
        <w:ind w:left="120"/>
        <w:jc w:val="both"/>
      </w:pPr>
      <w:r>
        <w:rPr>
          <w:rFonts w:ascii="Times New Roman" w:hAnsi="Times New Roman"/>
          <w:b/>
          <w:i w:val="false"/>
          <w:color w:val="000000"/>
          <w:sz w:val="22"/>
        </w:rPr>
        <w:t>111—13.8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agency requests provision of information by a client or any other person, the agency shall inform the person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authority under which the information is collected;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principal purposes for which the information will be used or released;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persons outside the agency might routinely have access to the information;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Which parts of the requested information are required and which are optional, and the consequences of failing to provide the information requested;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situations in which completing an “Authorization for release of information” form is or is not required before releasing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Persons who are unable to communicate in English or who rely on special modes of communication shall be provided explanations through methods they can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This information shall be provided to each client for agency services as a part of the application process.</w:t>
      </w:r>
    </w:p>
    <w:p>
      <w:pPr>
        <w:spacing w:before="0" w:after="0"/>
        <w:ind w:left="120"/>
        <w:jc w:val="both"/>
      </w:pPr>
      <w:r>
        <w:rPr>
          <w:rFonts w:ascii="Times New Roman" w:hAnsi="Times New Roman"/>
          <w:b/>
          <w:i w:val="false"/>
          <w:color w:val="000000"/>
          <w:sz w:val="22"/>
        </w:rPr>
        <w:t>111—13.9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Open records are routinely disclosed without the consent of the subject. To the extent allowed by law, disclosure of confidential records may occur without the consent of the subject. Lawful disclosure will generally occur without notice: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routine use as defined in rule </w:t>
      </w:r>
      <w:hyperlink r:id="rId22">
        <w:r>
          <w:rPr>
            <w:rStyle w:val="Hyperlink"/>
            <w:rFonts w:ascii="Times New Roman" w:hAnsi="Times New Roman"/>
            <w:b w:val="false"/>
            <w:i w:val="false"/>
            <w:color w:val="000000"/>
            <w:sz w:val="22"/>
          </w:rPr>
          <w:t>111—13.10(17A,22)</w:t>
        </w:r>
      </w:hyperlink>
      <w:r>
        <w:rPr>
          <w:rFonts w:ascii="Times New Roman" w:hAnsi="Times New Roman"/>
          <w:b w:val="false"/>
          <w:i w:val="false"/>
          <w:color w:val="000000"/>
          <w:sz w:val="22"/>
        </w:rPr>
        <w:t xml:space="preserve"> or in the notice for a particular record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a recipient who has provided the agency with advance written assurance that the record will be used solely for statistical purposes in an audit or evaluation, or in research which is directly connected with the administration of the agency’s programs; provided that the record is used only for the purposes provided; is released only to individuals officially connected with the audit, evaluation or research; is not released to the subject of the record; is managed in a manner which safeguards confidentiality; and does not appear in a final product in a form which would reveal personally identifiable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When necessary to protect the subject of the record or others when the subject poses a threat to safety;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To the legislative services agency under Iowa Code section </w:t>
      </w:r>
      <w:hyperlink r:id="rId23">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 the course of employee disciplinary proceedings;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111—13.10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statutes other than the public records law, Iowa Code chapter </w:t>
      </w:r>
      <w:hyperlink r:id="rId2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Disclosure to commissioners or staff members who have a need for the record in the performance of their duties. The custodian of the record may upon request of any commissioner or employee, or on the custodian’s own initiative, determine what constitutes legitimate need to use a confidential record;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Disclosure to the department of inspections and appeals, or to other impartial hearing officers appointed by the director pursuant to these rules, for matters in which services or functions are being performed on behalf of the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Transfers of information within the agency, to other state or federal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Release of information to staff of federal and state entities for audit purposes or for purposes of determining whether the agency is operating a program lawfully;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111—13.11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record may complete the agency Authorization for Release of Information form, consenting in writing to agency disclosure of confidential records as provided in rule </w:t>
      </w:r>
      <w:hyperlink r:id="rId25">
        <w:r>
          <w:rPr>
            <w:rStyle w:val="Hyperlink"/>
            <w:rFonts w:ascii="Times New Roman" w:hAnsi="Times New Roman"/>
            <w:b w:val="false"/>
            <w:i w:val="false"/>
            <w:color w:val="000000"/>
            <w:sz w:val="22"/>
          </w:rPr>
          <w:t>111—13.7(17A,22)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Complaints to public officials. 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Obtaining information from a third party. In order to obtain medical or psychological records or other information needed to determine program eligibility or to provide services, the agency may be required to make requests for information to third parties which may involve the release of personally identifiable and confidential information about the subject of a record. Except as provided in rule </w:t>
      </w:r>
      <w:hyperlink r:id="rId26">
        <w:r>
          <w:rPr>
            <w:rStyle w:val="Hyperlink"/>
            <w:rFonts w:ascii="Times New Roman" w:hAnsi="Times New Roman"/>
            <w:b w:val="false"/>
            <w:i w:val="false"/>
            <w:color w:val="000000"/>
            <w:sz w:val="22"/>
          </w:rPr>
          <w:t>111—13.9(17A,22)</w:t>
        </w:r>
      </w:hyperlink>
      <w:r>
        <w:rPr>
          <w:rFonts w:ascii="Times New Roman" w:hAnsi="Times New Roman"/>
          <w:b w:val="false"/>
          <w:i w:val="false"/>
          <w:color w:val="000000"/>
          <w:sz w:val="22"/>
        </w:rPr>
        <w:t>, the agency may do so only when an Authorization for Release of Information form has been properly executed by the subject of the record.</w:t>
      </w:r>
    </w:p>
    <w:p>
      <w:pPr>
        <w:spacing w:before="0" w:after="0"/>
        <w:ind w:left="120"/>
        <w:jc w:val="both"/>
      </w:pPr>
      <w:r>
        <w:rPr>
          <w:rFonts w:ascii="Times New Roman" w:hAnsi="Times New Roman"/>
          <w:b/>
          <w:i w:val="false"/>
          <w:color w:val="000000"/>
          <w:sz w:val="22"/>
        </w:rPr>
        <w:t>111—13.12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The subject of a confidential record, or the representative of the subject of a confidential record, may file a written request to review confidential records about that person. The agency shall make all information in the case record accessible to the subject or the subject’s representative in a timely manner,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identity of a person providing information to the agency when the information is authorized to be held confidential pursuant to Iowa Code section </w:t>
      </w:r>
      <w:hyperlink r:id="rId27">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work product of an attorney;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Investigative reports of peace officers, except as required pursuant to Iowa Code section </w:t>
      </w:r>
      <w:hyperlink r:id="rId28">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Medical or psychological information which the staff believes may be harmful to the subject of a case record shall not be released directly to the individual, but must be provided through a representative, a physician, psychiatrist, or a certified substance abuse counselor,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If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111—13.13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categorized by agency program area, shall be held confidential. The statutory authority for confidentiality of each record system is given.</w:t>
      </w:r>
    </w:p>
    <w:tbl>
      <w:tblPr>
        <w:tblW w:w="5000" w:type="pct"/>
        <w:tblCellSpacing w:w="0" w:type="auto"/>
        <w:tblBorders>
          <w:top w:val="none"/>
          <w:left w:val="none"/>
          <w:bottom w:val="none"/>
          <w:right w:val="none"/>
          <w:insideH w:val="none"/>
          <w:insideV w:val="none"/>
        </w:tblBorders>
        <w:tblLayout w:type="fixed"/>
      </w:tblPr>
      <w:tblGrid>
        <w:gridCol w:w="7515"/>
        <w:gridCol w:w="3675"/>
      </w:tblGrid>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u w:val="single"/>
              </w:rPr>
              <w:t>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u w:val="single"/>
              </w:rPr>
              <w:t>Statutory Authority</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ADMINISTRATION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Central blind registry (c)</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29">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financial documents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0">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Employment applications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1">
              <w:r>
                <w:rPr>
                  <w:rStyle w:val="Hyperlink"/>
                  <w:rFonts w:ascii="Times New Roman" w:hAnsi="Times New Roman"/>
                  <w:b w:val="false"/>
                  <w:i w:val="false"/>
                  <w:color w:val="000000"/>
                  <w:sz w:val="21"/>
                </w:rPr>
                <w:t>22.7(11)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Minutes, closed meetings, commission for the blind </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2">
              <w:r>
                <w:rPr>
                  <w:rStyle w:val="Hyperlink"/>
                  <w:rFonts w:ascii="Times New Roman" w:hAnsi="Times New Roman"/>
                  <w:b w:val="false"/>
                  <w:i w:val="false"/>
                  <w:color w:val="000000"/>
                  <w:sz w:val="21"/>
                </w:rPr>
                <w:t>21.5(4)</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Performance evaluations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3">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Personnel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4">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Personnel attendance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5">
              <w:r>
                <w:rPr>
                  <w:rStyle w:val="Hyperlink"/>
                  <w:rFonts w:ascii="Times New Roman" w:hAnsi="Times New Roman"/>
                  <w:b w:val="false"/>
                  <w:i w:val="false"/>
                  <w:color w:val="000000"/>
                  <w:sz w:val="21"/>
                </w:rPr>
                <w:t>19A.15</w:t>
              </w:r>
            </w:hyperlink>
          </w:p>
        </w:tc>
      </w:tr>
      <w:tr>
        <w:trPr>
          <w:trHeight w:val="1440" w:hRule="atLeast"/>
        </w:trPr>
        <w:tc>
          <w:tcPr>
            <w:tcW w:w="7515" w:type="dxa"/>
            <w:tcBorders/>
            <w:tcMar>
              <w:top w:w="30" w:type="dxa"/>
              <w:left w:w="30" w:type="dxa"/>
              <w:bottom w:w="15" w:type="dxa"/>
              <w:right w:w="30" w:type="dxa"/>
            </w:tcMar>
            <w:vAlign w:val="top"/>
          </w:tcPr>
          <w:p>
            <w:pPr>
              <w:spacing w:before="0" w:after="0"/>
              <w:ind w:left="304"/>
              <w:jc w:val="both"/>
            </w:pPr>
            <w:r>
              <w:rPr>
                <w:rFonts w:ascii="Times New Roman" w:hAnsi="Times New Roman"/>
                <w:b w:val="false"/>
                <w:i w:val="false"/>
                <w:color w:val="000000"/>
                <w:sz w:val="21"/>
              </w:rPr>
              <w:t>Portions of agency staff manuals or indexed general statements of policy when disclosure of the information would: (1) enable law violators to avoid detection; (2) facilitate disregard of requirements imposed by law; or (3) give a clearly improper advantage to persons who are in an adverse position to the agency</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sections </w:t>
            </w:r>
            <w:hyperlink r:id="rId36">
              <w:r>
                <w:rPr>
                  <w:rStyle w:val="Hyperlink"/>
                  <w:rFonts w:ascii="Times New Roman" w:hAnsi="Times New Roman"/>
                  <w:b w:val="false"/>
                  <w:i w:val="false"/>
                  <w:color w:val="000000"/>
                  <w:sz w:val="21"/>
                </w:rPr>
                <w:t>17A.2</w:t>
              </w:r>
            </w:hyperlink>
            <w:r>
              <w:rPr>
                <w:rFonts w:ascii="Times New Roman" w:hAnsi="Times New Roman"/>
                <w:b w:val="false"/>
                <w:i w:val="false"/>
                <w:color w:val="000000"/>
                <w:sz w:val="21"/>
              </w:rPr>
              <w:t xml:space="preserve"> and </w:t>
            </w:r>
            <w:hyperlink r:id="rId37">
              <w:r>
                <w:rPr>
                  <w:rStyle w:val="Hyperlink"/>
                  <w:rFonts w:ascii="Times New Roman" w:hAnsi="Times New Roman"/>
                  <w:b w:val="false"/>
                  <w:i w:val="false"/>
                  <w:color w:val="000000"/>
                  <w:sz w:val="21"/>
                </w:rPr>
                <w:t>17A.3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Unemployment claims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8">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ADULT ORIENTATION AND ADJUSTMENT CENTER</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Orientation center student information</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39">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Orientation center student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0">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Orientation center student/alumni data base (c)</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1">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BUSINESS ENTERPRISE PROGRAM</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Closing vendor inventories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2">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Individual operator management training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3">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Operator assignment selection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Vendor equipment inventories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Vendor financial information</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6">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INDEPENDENT LIVING REHABILITATION SERVICES</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Case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case number book</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8">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closure book</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49">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contact itineraries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0">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Client master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1">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Client satisfaction survey</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2">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field contact report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3">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Field operations staff reports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FOR THE BLIND AND PHYSICALLY HANDICAPPED</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American college testing service test materials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5">
              <w:r>
                <w:rPr>
                  <w:rStyle w:val="Hyperlink"/>
                  <w:rFonts w:ascii="Times New Roman" w:hAnsi="Times New Roman"/>
                  <w:b w:val="false"/>
                  <w:i w:val="false"/>
                  <w:color w:val="000000"/>
                  <w:sz w:val="21"/>
                </w:rPr>
                <w:t>22.7(19)</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American printing house for the blind availability inquiries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6">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Applications for library service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Book order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8">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Book transcription completion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59">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Braille thermoform request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0">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Circulation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1">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CMLS microfiche and printout book of library patron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2">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EI cassette machine pilot project user listing</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3">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Hand-thermoformed braille library patron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4">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Instructional materials center purchase orders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5">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Interlibrary library patron loan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6">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Iowa basic skills test materials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7">
              <w:r>
                <w:rPr>
                  <w:rStyle w:val="Hyperlink"/>
                  <w:rFonts w:ascii="Times New Roman" w:hAnsi="Times New Roman"/>
                  <w:b w:val="false"/>
                  <w:i w:val="false"/>
                  <w:color w:val="000000"/>
                  <w:sz w:val="21"/>
                </w:rPr>
                <w:t>22.7(19)</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Iowa federation of women’s clubs library patron request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8">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Iowa Lions bible distribution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69">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correspondence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0">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equipment inventory</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1">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orders, monthly reports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2">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braille requests and production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3">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braille request exchange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4">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New library patron listing</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5">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NLS subscription transaction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6">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NLS updates on library patron service changes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7">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Out-of-state library patron duplication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8">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Pioneer service reports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79">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Recording for the blind circulation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0">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Tape purchase correspondence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1">
              <w:r>
                <w:rPr>
                  <w:rStyle w:val="Hyperlink"/>
                  <w:rFonts w:ascii="Times New Roman" w:hAnsi="Times New Roman"/>
                  <w:b w:val="false"/>
                  <w:i w:val="false"/>
                  <w:color w:val="000000"/>
                  <w:sz w:val="21"/>
                </w:rPr>
                <w:t>22.7(13)</w:t>
              </w:r>
            </w:hyperlink>
          </w:p>
        </w:tc>
      </w:tr>
      <w:tr>
        <w:trPr>
          <w:trHeight w:val="33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Textbook tracking materials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2">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VOCATIONAL REHABILITATION SERVICES</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Annual SGA closure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3">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Case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Certification letters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Claim and verification requests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6">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contact itineraries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Client master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8">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orientation schedule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89">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Client satisfaction survey</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0">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Department of personnel braille typing tests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1">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Monthly field operations staff reports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2">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SSA responses to claim &amp; verification requests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3">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This subrule describes the nature and extent of personally identifiable information which is collected, maintained, and retrieved by the agency by personal identifier in record systems defined in rule </w:t>
      </w:r>
      <w:hyperlink r:id="rId94">
        <w:r>
          <w:rPr>
            <w:rStyle w:val="Hyperlink"/>
            <w:rFonts w:ascii="Times New Roman" w:hAnsi="Times New Roman"/>
            <w:b w:val="false"/>
            <w:i w:val="false"/>
            <w:color w:val="000000"/>
            <w:sz w:val="22"/>
          </w:rPr>
          <w:t>111—13.1(17A,22)</w:t>
        </w:r>
      </w:hyperlink>
      <w:r>
        <w:rPr>
          <w:rFonts w:ascii="Times New Roman" w:hAnsi="Times New Roman"/>
          <w:b w:val="false"/>
          <w:i w:val="false"/>
          <w:color w:val="000000"/>
          <w:sz w:val="22"/>
        </w:rPr>
        <w:t>. For each record system, this subrule describes the legal authority for the collection of information. These record systems, categorized by agency program area, are:</w:t>
      </w:r>
    </w:p>
    <w:tbl>
      <w:tblPr>
        <w:tblW w:w="5000" w:type="pct"/>
        <w:tblCellSpacing w:w="0" w:type="auto"/>
        <w:tblBorders>
          <w:top w:val="none"/>
          <w:left w:val="none"/>
          <w:bottom w:val="none"/>
          <w:right w:val="none"/>
          <w:insideH w:val="none"/>
          <w:insideV w:val="none"/>
        </w:tblBorders>
        <w:tblLayout w:type="fixed"/>
      </w:tblPr>
      <w:tblGrid>
        <w:gridCol w:w="7515"/>
        <w:gridCol w:w="3675"/>
      </w:tblGrid>
      <w:tr>
        <w:trPr>
          <w:trHeight w:val="495"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u w:val="single"/>
              </w:rPr>
              <w:t>Records</w:t>
            </w:r>
          </w:p>
        </w:tc>
        <w:tc>
          <w:tcPr>
            <w:tcW w:w="367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u w:val="single"/>
              </w:rPr>
              <w:t>Legal Authority for</w:t>
            </w:r>
          </w:p>
          <w:p>
            <w:pPr>
              <w:spacing w:before="0" w:after="0"/>
              <w:ind w:left="160"/>
              <w:jc w:val="both"/>
            </w:pPr>
            <w:r>
              <w:rPr>
                <w:rFonts w:ascii="Times New Roman" w:hAnsi="Times New Roman"/>
                <w:b w:val="false"/>
                <w:i w:val="false"/>
                <w:color w:val="000000"/>
                <w:sz w:val="21"/>
                <w:u w:val="single"/>
              </w:rPr>
              <w:t>Collection</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ADMINISTRATION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Accounts payable vouchers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Central blind registry (c)</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6">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financial documents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Employment applications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8">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Performance evaluations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99">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Personnel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0">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Personnel attendance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1">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Unemployment claims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2">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ADULT ORIENTATION AND ADJUSTMENT CENTER</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Orientation center student information</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3">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Orientation center student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Orientation center student/alumni database (c)</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BUSINESS ENTERPRISE PROGRAM</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Closing vendor inventories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6">
              <w:r>
                <w:rPr>
                  <w:rStyle w:val="Hyperlink"/>
                  <w:rFonts w:ascii="Times New Roman" w:hAnsi="Times New Roman"/>
                  <w:b w:val="false"/>
                  <w:i w:val="false"/>
                  <w:color w:val="000000"/>
                  <w:sz w:val="21"/>
                </w:rPr>
                <w:t>259.1</w:t>
              </w:r>
            </w:hyperlink>
          </w:p>
        </w:tc>
      </w:tr>
      <w:tr>
        <w:trPr>
          <w:trHeight w:val="465"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Individual operator management training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Operator assignment selection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8">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Vendor equipment inventories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09">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Vendor financial information</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0">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INDEPENDENT LIVING REHABILITATION SERVICES</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Case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1">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case number book</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2">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closure book</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3">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contact itineraries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equipment inventory cards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field contact report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6">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Field operations monthly reports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FOR THE BLIND AND PHYSICALLY HANDICAPPED</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751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American printing house for the blind library patron availability inquiries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8">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Applications for library service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19">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Book order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0">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Book transcription completion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1">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Braille thermoform request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2">
              <w:r>
                <w:rPr>
                  <w:rStyle w:val="Hyperlink"/>
                  <w:rFonts w:ascii="Times New Roman" w:hAnsi="Times New Roman"/>
                  <w:b w:val="false"/>
                  <w:i w:val="false"/>
                  <w:color w:val="000000"/>
                  <w:sz w:val="21"/>
                </w:rPr>
                <w:t>22.7(13)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Circulation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3">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CMLS microfiche and printout book of library patron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4">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EI cassette machine pilot project user listing</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5">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Hand-thermoformed braille library patron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6">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Instructional materials center purchase orders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7">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Interlibrary library patron loan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8">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Iowa federation of women’s clubs library patron request tracking</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29">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Iowa Lions bible distribution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0">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correspondence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1">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equipment inventory</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2">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orders, monthly reports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3">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braille requests and production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4">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patron braille request exchange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5">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New library patron listing</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6">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NLS subscription transaction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7">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NLS updates on library patron service changes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8">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Out-of-state library patron duplication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39">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Pioneer service reports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0">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Recording for the blind circulation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1">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Tape purchase correspondence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2">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Textbook tracking materials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3">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VOCATIONAL REHABILITATION SERVICES</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39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Annual SGA closure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Case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Certification letters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6">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Claim &amp; verification requests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contact itineraries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8">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orientation schedule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49">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SSA responses to claim &amp; verification requests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0">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p>
    <w:p>
      <w:pPr>
        <w:spacing w:before="0" w:after="0"/>
        <w:ind w:left="120"/>
        <w:jc w:val="both"/>
      </w:pPr>
      <w:r>
        <w:br/>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13.13(4)</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 These record systems, categorized by agency program area, are routinely available to the public. They do not generally contain personally identifiable information or confidential information.</w:t>
      </w:r>
    </w:p>
    <w:p>
      <w:pPr>
        <w:spacing w:before="0" w:after="0"/>
        <w:ind w:left="120"/>
        <w:jc w:val="both"/>
      </w:pPr>
      <w:r>
        <w:rPr>
          <w:rFonts w:ascii="Times New Roman" w:hAnsi="Times New Roman"/>
          <w:b w:val="false"/>
          <w:i w:val="false"/>
          <w:color w:val="000000"/>
          <w:sz w:val="22"/>
          <w:u w:val="single"/>
        </w:rPr>
        <w:t>Records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Acknowledgments of gifts and bequests contributions</w:t>
      </w:r>
    </w:p>
    <w:p>
      <w:pPr>
        <w:spacing w:before="0" w:after="0"/>
        <w:ind w:left="120"/>
        <w:jc w:val="both"/>
      </w:pPr>
      <w:r>
        <w:rPr>
          <w:rFonts w:ascii="Times New Roman" w:hAnsi="Times New Roman"/>
          <w:b w:val="false"/>
          <w:i w:val="false"/>
          <w:color w:val="000000"/>
          <w:sz w:val="22"/>
        </w:rPr>
        <w:t>Administrative rules, public docket and rule-making records</w:t>
      </w:r>
    </w:p>
    <w:p>
      <w:pPr>
        <w:spacing w:before="0" w:after="0"/>
        <w:ind w:left="120"/>
        <w:jc w:val="both"/>
      </w:pPr>
      <w:r>
        <w:rPr>
          <w:rFonts w:ascii="Times New Roman" w:hAnsi="Times New Roman"/>
          <w:b w:val="false"/>
          <w:i w:val="false"/>
          <w:color w:val="000000"/>
          <w:sz w:val="22"/>
        </w:rPr>
        <w:t>Advisory boards, commissions, associations, committees and task forces: correspondence, minutes</w:t>
      </w:r>
    </w:p>
    <w:p>
      <w:pPr>
        <w:spacing w:before="0" w:after="0"/>
        <w:ind w:left="120"/>
        <w:jc w:val="both"/>
      </w:pPr>
      <w:r>
        <w:rPr>
          <w:rFonts w:ascii="Times New Roman" w:hAnsi="Times New Roman"/>
          <w:b w:val="false"/>
          <w:i w:val="false"/>
          <w:color w:val="000000"/>
          <w:sz w:val="22"/>
        </w:rPr>
        <w:t>and general information</w:t>
      </w:r>
    </w:p>
    <w:p>
      <w:pPr>
        <w:spacing w:before="0" w:after="0"/>
        <w:ind w:left="120"/>
        <w:jc w:val="both"/>
      </w:pPr>
      <w:r>
        <w:rPr>
          <w:rFonts w:ascii="Times New Roman" w:hAnsi="Times New Roman"/>
          <w:b w:val="false"/>
          <w:i w:val="false"/>
          <w:color w:val="000000"/>
          <w:sz w:val="22"/>
        </w:rPr>
        <w:t>Aids and appliances, accounts receivable</w:t>
      </w:r>
    </w:p>
    <w:p>
      <w:pPr>
        <w:spacing w:before="0" w:after="0"/>
        <w:ind w:left="120"/>
        <w:jc w:val="both"/>
      </w:pPr>
      <w:r>
        <w:rPr>
          <w:rFonts w:ascii="Times New Roman" w:hAnsi="Times New Roman"/>
          <w:b w:val="false"/>
          <w:i w:val="false"/>
          <w:color w:val="000000"/>
          <w:sz w:val="22"/>
        </w:rPr>
        <w:t>Annual reports</w:t>
      </w:r>
    </w:p>
    <w:p>
      <w:pPr>
        <w:spacing w:before="0" w:after="0"/>
        <w:ind w:left="120"/>
        <w:jc w:val="both"/>
      </w:pPr>
      <w:r>
        <w:rPr>
          <w:rFonts w:ascii="Times New Roman" w:hAnsi="Times New Roman"/>
          <w:b w:val="false"/>
          <w:i w:val="false"/>
          <w:color w:val="000000"/>
          <w:sz w:val="22"/>
        </w:rPr>
        <w:t>Building blueprints</w:t>
      </w:r>
    </w:p>
    <w:p>
      <w:pPr>
        <w:spacing w:before="0" w:after="0"/>
        <w:ind w:left="120"/>
        <w:jc w:val="both"/>
      </w:pPr>
      <w:r>
        <w:rPr>
          <w:rFonts w:ascii="Times New Roman" w:hAnsi="Times New Roman"/>
          <w:b w:val="false"/>
          <w:i w:val="false"/>
          <w:color w:val="000000"/>
          <w:sz w:val="22"/>
        </w:rPr>
        <w:t>Building equipment reference manuals and data</w:t>
      </w:r>
    </w:p>
    <w:p>
      <w:pPr>
        <w:spacing w:before="0" w:after="0"/>
        <w:ind w:left="120"/>
        <w:jc w:val="both"/>
      </w:pPr>
      <w:r>
        <w:rPr>
          <w:rFonts w:ascii="Times New Roman" w:hAnsi="Times New Roman"/>
          <w:b w:val="false"/>
          <w:i w:val="false"/>
          <w:color w:val="000000"/>
          <w:sz w:val="22"/>
        </w:rPr>
        <w:t>Cooperative agreements</w:t>
      </w:r>
    </w:p>
    <w:p>
      <w:pPr>
        <w:spacing w:before="0" w:after="0"/>
        <w:ind w:left="120"/>
        <w:jc w:val="both"/>
      </w:pPr>
      <w:r>
        <w:rPr>
          <w:rFonts w:ascii="Times New Roman" w:hAnsi="Times New Roman"/>
          <w:b w:val="false"/>
          <w:i w:val="false"/>
          <w:color w:val="000000"/>
          <w:sz w:val="22"/>
        </w:rPr>
        <w:t>CSAVR, correspondence and general information</w:t>
      </w:r>
    </w:p>
    <w:p>
      <w:pPr>
        <w:spacing w:before="0" w:after="0"/>
        <w:ind w:left="120"/>
        <w:jc w:val="both"/>
      </w:pPr>
      <w:r>
        <w:rPr>
          <w:rFonts w:ascii="Times New Roman" w:hAnsi="Times New Roman"/>
          <w:b w:val="false"/>
          <w:i w:val="false"/>
          <w:color w:val="000000"/>
          <w:sz w:val="22"/>
        </w:rPr>
        <w:t>Dept. of education, correspondence, fiscal records and general information</w:t>
      </w:r>
    </w:p>
    <w:p>
      <w:pPr>
        <w:spacing w:before="0" w:after="0"/>
        <w:ind w:left="120"/>
        <w:jc w:val="both"/>
      </w:pPr>
      <w:r>
        <w:rPr>
          <w:rFonts w:ascii="Times New Roman" w:hAnsi="Times New Roman"/>
          <w:b w:val="false"/>
          <w:i w:val="false"/>
          <w:color w:val="000000"/>
          <w:sz w:val="22"/>
        </w:rPr>
        <w:t>Dept. of personnel procedures manual</w:t>
      </w:r>
    </w:p>
    <w:p>
      <w:pPr>
        <w:spacing w:before="0" w:after="0"/>
        <w:ind w:left="120"/>
        <w:jc w:val="both"/>
      </w:pPr>
      <w:r>
        <w:rPr>
          <w:rFonts w:ascii="Times New Roman" w:hAnsi="Times New Roman"/>
          <w:b w:val="false"/>
          <w:i w:val="false"/>
          <w:color w:val="000000"/>
          <w:sz w:val="22"/>
        </w:rPr>
        <w:t>Employee assistance fund information</w:t>
      </w:r>
    </w:p>
    <w:p>
      <w:pPr>
        <w:spacing w:before="0" w:after="0"/>
        <w:ind w:left="120"/>
        <w:jc w:val="both"/>
      </w:pPr>
      <w:r>
        <w:rPr>
          <w:rFonts w:ascii="Times New Roman" w:hAnsi="Times New Roman"/>
          <w:b w:val="false"/>
          <w:i w:val="false"/>
          <w:color w:val="000000"/>
          <w:sz w:val="22"/>
        </w:rPr>
        <w:t>Employee handbook</w:t>
      </w:r>
    </w:p>
    <w:p>
      <w:pPr>
        <w:spacing w:before="0" w:after="0"/>
        <w:ind w:left="120"/>
        <w:jc w:val="both"/>
      </w:pPr>
      <w:r>
        <w:rPr>
          <w:rFonts w:ascii="Times New Roman" w:hAnsi="Times New Roman"/>
          <w:b w:val="false"/>
          <w:i w:val="false"/>
          <w:color w:val="000000"/>
          <w:sz w:val="22"/>
        </w:rPr>
        <w:t>Equipment maintenance agreements</w:t>
      </w:r>
    </w:p>
    <w:p>
      <w:pPr>
        <w:spacing w:before="0" w:after="0"/>
        <w:ind w:left="120"/>
        <w:jc w:val="both"/>
      </w:pPr>
      <w:r>
        <w:rPr>
          <w:rFonts w:ascii="Times New Roman" w:hAnsi="Times New Roman"/>
          <w:b w:val="false"/>
          <w:i w:val="false"/>
          <w:color w:val="000000"/>
          <w:sz w:val="22"/>
        </w:rPr>
        <w:t>Executive calendar, current and past</w:t>
      </w:r>
    </w:p>
    <w:p>
      <w:pPr>
        <w:spacing w:before="0" w:after="0"/>
        <w:ind w:left="120"/>
        <w:jc w:val="both"/>
      </w:pPr>
      <w:r>
        <w:rPr>
          <w:rFonts w:ascii="Times New Roman" w:hAnsi="Times New Roman"/>
          <w:b w:val="false"/>
          <w:i w:val="false"/>
          <w:color w:val="000000"/>
          <w:sz w:val="22"/>
        </w:rPr>
        <w:t>Federal financial reports</w:t>
      </w:r>
    </w:p>
    <w:p>
      <w:pPr>
        <w:spacing w:before="0" w:after="0"/>
        <w:ind w:left="120"/>
        <w:jc w:val="both"/>
      </w:pPr>
      <w:r>
        <w:rPr>
          <w:rFonts w:ascii="Times New Roman" w:hAnsi="Times New Roman"/>
          <w:b w:val="false"/>
          <w:i w:val="false"/>
          <w:color w:val="000000"/>
          <w:sz w:val="22"/>
        </w:rPr>
        <w:t>Federal funds request authorizations</w:t>
      </w:r>
    </w:p>
    <w:p>
      <w:pPr>
        <w:spacing w:before="0" w:after="0"/>
        <w:ind w:left="120"/>
        <w:jc w:val="both"/>
      </w:pPr>
      <w:r>
        <w:rPr>
          <w:rFonts w:ascii="Times New Roman" w:hAnsi="Times New Roman"/>
          <w:b w:val="false"/>
          <w:i w:val="false"/>
          <w:color w:val="000000"/>
          <w:sz w:val="22"/>
        </w:rPr>
        <w:t>Federal government agencies, correspondence and reports</w:t>
      </w:r>
    </w:p>
    <w:p>
      <w:pPr>
        <w:spacing w:before="0" w:after="0"/>
        <w:ind w:left="120"/>
        <w:jc w:val="both"/>
      </w:pPr>
      <w:r>
        <w:rPr>
          <w:rFonts w:ascii="Times New Roman" w:hAnsi="Times New Roman"/>
          <w:b w:val="false"/>
          <w:i w:val="false"/>
          <w:color w:val="000000"/>
          <w:sz w:val="22"/>
        </w:rPr>
        <w:t>Film and videotape information</w:t>
      </w:r>
    </w:p>
    <w:p>
      <w:pPr>
        <w:spacing w:before="0" w:after="0"/>
        <w:ind w:left="120"/>
        <w:jc w:val="both"/>
      </w:pPr>
      <w:r>
        <w:rPr>
          <w:rFonts w:ascii="Times New Roman" w:hAnsi="Times New Roman"/>
          <w:b w:val="false"/>
          <w:i w:val="false"/>
          <w:color w:val="000000"/>
          <w:sz w:val="22"/>
        </w:rPr>
        <w:t>Fire evacuation procedures</w:t>
      </w:r>
    </w:p>
    <w:p>
      <w:pPr>
        <w:spacing w:before="0" w:after="0"/>
        <w:ind w:left="120"/>
        <w:jc w:val="both"/>
      </w:pPr>
      <w:r>
        <w:rPr>
          <w:rFonts w:ascii="Times New Roman" w:hAnsi="Times New Roman"/>
          <w:b w:val="false"/>
          <w:i w:val="false"/>
          <w:color w:val="000000"/>
          <w:sz w:val="22"/>
        </w:rPr>
        <w:t>Fiscal information on special projects</w:t>
      </w:r>
    </w:p>
    <w:p>
      <w:pPr>
        <w:spacing w:before="0" w:after="0"/>
        <w:ind w:left="120"/>
        <w:jc w:val="both"/>
      </w:pPr>
      <w:r>
        <w:rPr>
          <w:rFonts w:ascii="Times New Roman" w:hAnsi="Times New Roman"/>
          <w:b w:val="false"/>
          <w:i w:val="false"/>
          <w:color w:val="000000"/>
          <w:sz w:val="22"/>
        </w:rPr>
        <w:t>Forms, indexed</w:t>
      </w:r>
    </w:p>
    <w:p>
      <w:pPr>
        <w:spacing w:before="0" w:after="0"/>
        <w:ind w:left="120"/>
        <w:jc w:val="both"/>
      </w:pPr>
      <w:r>
        <w:rPr>
          <w:rFonts w:ascii="Times New Roman" w:hAnsi="Times New Roman"/>
          <w:b w:val="false"/>
          <w:i w:val="false"/>
          <w:color w:val="000000"/>
          <w:sz w:val="22"/>
        </w:rPr>
        <w:t>General complaints and criticisms from the public</w:t>
      </w:r>
    </w:p>
    <w:p>
      <w:pPr>
        <w:spacing w:before="0" w:after="0"/>
        <w:ind w:left="120"/>
        <w:jc w:val="both"/>
      </w:pPr>
      <w:r>
        <w:rPr>
          <w:rFonts w:ascii="Times New Roman" w:hAnsi="Times New Roman"/>
          <w:b w:val="false"/>
          <w:i w:val="false"/>
          <w:color w:val="000000"/>
          <w:sz w:val="22"/>
        </w:rPr>
        <w:t>General letters of appreciation from the public</w:t>
      </w:r>
    </w:p>
    <w:p>
      <w:pPr>
        <w:spacing w:before="0" w:after="0"/>
        <w:ind w:left="120"/>
        <w:jc w:val="both"/>
      </w:pPr>
      <w:r>
        <w:rPr>
          <w:rFonts w:ascii="Times New Roman" w:hAnsi="Times New Roman"/>
          <w:b w:val="false"/>
          <w:i w:val="false"/>
          <w:color w:val="000000"/>
          <w:sz w:val="22"/>
        </w:rPr>
        <w:t>General requests and inquiries from the public</w:t>
      </w:r>
    </w:p>
    <w:p>
      <w:pPr>
        <w:spacing w:before="0" w:after="0"/>
        <w:ind w:left="120"/>
        <w:jc w:val="both"/>
      </w:pPr>
      <w:r>
        <w:rPr>
          <w:rFonts w:ascii="Times New Roman" w:hAnsi="Times New Roman"/>
          <w:b w:val="false"/>
          <w:i w:val="false"/>
          <w:color w:val="000000"/>
          <w:sz w:val="22"/>
        </w:rPr>
        <w:t>General statements of agency policy, indexed</w:t>
      </w:r>
    </w:p>
    <w:p>
      <w:pPr>
        <w:spacing w:before="0" w:after="0"/>
        <w:ind w:left="120"/>
        <w:jc w:val="both"/>
      </w:pPr>
      <w:r>
        <w:rPr>
          <w:rFonts w:ascii="Times New Roman" w:hAnsi="Times New Roman"/>
          <w:b w:val="false"/>
          <w:i w:val="false"/>
          <w:color w:val="000000"/>
          <w:sz w:val="22"/>
        </w:rPr>
        <w:t>Gift law, general information</w:t>
      </w:r>
    </w:p>
    <w:p>
      <w:pPr>
        <w:spacing w:before="0" w:after="0"/>
        <w:ind w:left="120"/>
        <w:jc w:val="both"/>
      </w:pPr>
      <w:r>
        <w:rPr>
          <w:rFonts w:ascii="Times New Roman" w:hAnsi="Times New Roman"/>
          <w:b w:val="false"/>
          <w:i w:val="false"/>
          <w:color w:val="000000"/>
          <w:sz w:val="22"/>
        </w:rPr>
        <w:t>Iowa head injury committee</w:t>
      </w:r>
    </w:p>
    <w:p>
      <w:pPr>
        <w:spacing w:before="0" w:after="0"/>
        <w:ind w:left="120"/>
        <w:jc w:val="both"/>
      </w:pPr>
      <w:r>
        <w:rPr>
          <w:rFonts w:ascii="Times New Roman" w:hAnsi="Times New Roman"/>
          <w:b w:val="false"/>
          <w:i w:val="false"/>
          <w:color w:val="000000"/>
          <w:sz w:val="22"/>
        </w:rPr>
        <w:t>Iowa management training system, general information</w:t>
      </w:r>
    </w:p>
    <w:p>
      <w:pPr>
        <w:spacing w:before="0" w:after="0"/>
        <w:ind w:left="120"/>
        <w:jc w:val="both"/>
      </w:pPr>
      <w:r>
        <w:rPr>
          <w:rFonts w:ascii="Times New Roman" w:hAnsi="Times New Roman"/>
          <w:b w:val="false"/>
          <w:i w:val="false"/>
          <w:color w:val="000000"/>
          <w:sz w:val="22"/>
        </w:rPr>
        <w:t>Job opening announcements</w:t>
      </w:r>
    </w:p>
    <w:p>
      <w:pPr>
        <w:spacing w:before="0" w:after="0"/>
        <w:ind w:left="120"/>
        <w:jc w:val="both"/>
      </w:pPr>
      <w:r>
        <w:rPr>
          <w:rFonts w:ascii="Times New Roman" w:hAnsi="Times New Roman"/>
          <w:b w:val="false"/>
          <w:i w:val="false"/>
          <w:color w:val="000000"/>
          <w:sz w:val="22"/>
        </w:rPr>
        <w:t>Legislators, listing</w:t>
      </w:r>
    </w:p>
    <w:p>
      <w:pPr>
        <w:spacing w:before="0" w:after="0"/>
        <w:ind w:left="120"/>
        <w:jc w:val="both"/>
      </w:pPr>
      <w:r>
        <w:rPr>
          <w:rFonts w:ascii="Times New Roman" w:hAnsi="Times New Roman"/>
          <w:b w:val="false"/>
          <w:i w:val="false"/>
          <w:color w:val="000000"/>
          <w:sz w:val="22"/>
        </w:rPr>
        <w:t>Legislative correspondence and general information</w:t>
      </w:r>
    </w:p>
    <w:p>
      <w:pPr>
        <w:spacing w:before="0" w:after="0"/>
        <w:ind w:left="120"/>
        <w:jc w:val="both"/>
      </w:pPr>
      <w:r>
        <w:rPr>
          <w:rFonts w:ascii="Times New Roman" w:hAnsi="Times New Roman"/>
          <w:b w:val="false"/>
          <w:i w:val="false"/>
          <w:color w:val="000000"/>
          <w:sz w:val="22"/>
        </w:rPr>
        <w:t>Mailing lists</w:t>
      </w:r>
    </w:p>
    <w:p>
      <w:pPr>
        <w:spacing w:before="0" w:after="0"/>
        <w:ind w:left="120"/>
        <w:jc w:val="both"/>
      </w:pPr>
      <w:r>
        <w:rPr>
          <w:rFonts w:ascii="Times New Roman" w:hAnsi="Times New Roman"/>
          <w:b w:val="false"/>
          <w:i w:val="false"/>
          <w:color w:val="000000"/>
          <w:sz w:val="22"/>
        </w:rPr>
        <w:t>Maintenance work orders (c)</w:t>
      </w:r>
    </w:p>
    <w:p>
      <w:pPr>
        <w:spacing w:before="0" w:after="0"/>
        <w:ind w:left="120"/>
        <w:jc w:val="both"/>
      </w:pPr>
      <w:r>
        <w:rPr>
          <w:rFonts w:ascii="Times New Roman" w:hAnsi="Times New Roman"/>
          <w:b w:val="false"/>
          <w:i w:val="false"/>
          <w:color w:val="000000"/>
          <w:sz w:val="22"/>
        </w:rPr>
        <w:t>Membership, payment approvals</w:t>
      </w:r>
    </w:p>
    <w:p>
      <w:pPr>
        <w:spacing w:before="0" w:after="0"/>
        <w:ind w:left="120"/>
        <w:jc w:val="both"/>
      </w:pPr>
      <w:r>
        <w:rPr>
          <w:rFonts w:ascii="Times New Roman" w:hAnsi="Times New Roman"/>
          <w:b w:val="false"/>
          <w:i w:val="false"/>
          <w:color w:val="000000"/>
          <w:sz w:val="22"/>
        </w:rPr>
        <w:t>Minutes, Iowa commission for the blind</w:t>
      </w:r>
    </w:p>
    <w:p>
      <w:pPr>
        <w:spacing w:before="0" w:after="0"/>
        <w:ind w:left="120"/>
        <w:jc w:val="both"/>
      </w:pPr>
      <w:r>
        <w:rPr>
          <w:rFonts w:ascii="Times New Roman" w:hAnsi="Times New Roman"/>
          <w:b w:val="false"/>
          <w:i w:val="false"/>
          <w:color w:val="000000"/>
          <w:sz w:val="22"/>
        </w:rPr>
        <w:t>Monthly financial reports, dept.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revenue</w:t>
      </w:r>
    </w:p>
    <w:p>
      <w:pPr>
        <w:spacing w:before="0" w:after="0"/>
        <w:ind w:left="120"/>
        <w:jc w:val="both"/>
      </w:pPr>
      <w:r>
        <w:rPr>
          <w:rFonts w:ascii="Times New Roman" w:hAnsi="Times New Roman"/>
          <w:b w:val="false"/>
          <w:i w:val="false"/>
          <w:color w:val="000000"/>
          <w:sz w:val="22"/>
        </w:rPr>
        <w:t>National council of state agencies for the blind, correspondence and general information</w:t>
      </w:r>
    </w:p>
    <w:p>
      <w:pPr>
        <w:spacing w:before="0" w:after="0"/>
        <w:ind w:left="120"/>
        <w:jc w:val="both"/>
      </w:pPr>
      <w:r>
        <w:rPr>
          <w:rFonts w:ascii="Times New Roman" w:hAnsi="Times New Roman"/>
          <w:b w:val="false"/>
          <w:i w:val="false"/>
          <w:color w:val="000000"/>
          <w:sz w:val="22"/>
        </w:rPr>
        <w:t>New staff seminar schedules and evaluations</w:t>
      </w:r>
    </w:p>
    <w:p>
      <w:pPr>
        <w:spacing w:before="0" w:after="0"/>
        <w:ind w:left="120"/>
        <w:jc w:val="both"/>
      </w:pPr>
      <w:r>
        <w:rPr>
          <w:rFonts w:ascii="Times New Roman" w:hAnsi="Times New Roman"/>
          <w:b w:val="false"/>
          <w:i w:val="false"/>
          <w:color w:val="000000"/>
          <w:sz w:val="22"/>
        </w:rPr>
        <w:t>Out-of-state travel authorization requests and approvals</w:t>
      </w:r>
    </w:p>
    <w:p>
      <w:pPr>
        <w:spacing w:before="0" w:after="0"/>
        <w:ind w:left="120"/>
        <w:jc w:val="both"/>
      </w:pPr>
      <w:r>
        <w:rPr>
          <w:rFonts w:ascii="Times New Roman" w:hAnsi="Times New Roman"/>
          <w:b w:val="false"/>
          <w:i w:val="false"/>
          <w:color w:val="000000"/>
          <w:sz w:val="22"/>
        </w:rPr>
        <w:t>Personnel classifications, job descriptions and pay schedules</w:t>
      </w:r>
    </w:p>
    <w:p>
      <w:pPr>
        <w:spacing w:before="0" w:after="0"/>
        <w:ind w:left="120"/>
        <w:jc w:val="both"/>
      </w:pPr>
      <w:r>
        <w:rPr>
          <w:rFonts w:ascii="Times New Roman" w:hAnsi="Times New Roman"/>
          <w:b w:val="false"/>
          <w:i w:val="false"/>
          <w:color w:val="000000"/>
          <w:sz w:val="22"/>
        </w:rPr>
        <w:t>Personnel instructional pamphlets</w:t>
      </w:r>
    </w:p>
    <w:p>
      <w:pPr>
        <w:spacing w:before="0" w:after="0"/>
        <w:ind w:left="120"/>
        <w:jc w:val="both"/>
      </w:pPr>
      <w:r>
        <w:rPr>
          <w:rFonts w:ascii="Times New Roman" w:hAnsi="Times New Roman"/>
          <w:b w:val="false"/>
          <w:i w:val="false"/>
          <w:color w:val="000000"/>
          <w:sz w:val="22"/>
        </w:rPr>
        <w:t>Photographs and resumes, administrator and commission members</w:t>
      </w:r>
    </w:p>
    <w:p>
      <w:pPr>
        <w:spacing w:before="0" w:after="0"/>
        <w:ind w:left="120"/>
        <w:jc w:val="both"/>
      </w:pPr>
      <w:r>
        <w:rPr>
          <w:rFonts w:ascii="Times New Roman" w:hAnsi="Times New Roman"/>
          <w:b w:val="false"/>
          <w:i w:val="false"/>
          <w:color w:val="000000"/>
          <w:sz w:val="22"/>
        </w:rPr>
        <w:t>Pool/gym agreements</w:t>
      </w:r>
    </w:p>
    <w:p>
      <w:pPr>
        <w:spacing w:before="0" w:after="0"/>
        <w:ind w:left="120"/>
        <w:jc w:val="both"/>
      </w:pPr>
      <w:r>
        <w:rPr>
          <w:rFonts w:ascii="Times New Roman" w:hAnsi="Times New Roman"/>
          <w:b w:val="false"/>
          <w:i w:val="false"/>
          <w:color w:val="000000"/>
          <w:sz w:val="22"/>
        </w:rPr>
        <w:t>Position description questionnaires</w:t>
      </w:r>
    </w:p>
    <w:p>
      <w:pPr>
        <w:spacing w:before="0" w:after="0"/>
        <w:ind w:left="120"/>
        <w:jc w:val="both"/>
      </w:pPr>
      <w:r>
        <w:rPr>
          <w:rFonts w:ascii="Times New Roman" w:hAnsi="Times New Roman"/>
          <w:b w:val="false"/>
          <w:i w:val="false"/>
          <w:color w:val="000000"/>
          <w:sz w:val="22"/>
        </w:rPr>
        <w:t>Press releases and news clippings</w:t>
      </w:r>
    </w:p>
    <w:p>
      <w:pPr>
        <w:spacing w:before="0" w:after="0"/>
        <w:ind w:left="120"/>
        <w:jc w:val="both"/>
      </w:pPr>
      <w:r>
        <w:rPr>
          <w:rFonts w:ascii="Times New Roman" w:hAnsi="Times New Roman"/>
          <w:b w:val="false"/>
          <w:i w:val="false"/>
          <w:color w:val="000000"/>
          <w:sz w:val="22"/>
        </w:rPr>
        <w:t>Private organizations, correspondence and general information</w:t>
      </w:r>
    </w:p>
    <w:p>
      <w:pPr>
        <w:spacing w:before="0" w:after="0"/>
        <w:ind w:left="120"/>
        <w:jc w:val="both"/>
      </w:pPr>
      <w:r>
        <w:rPr>
          <w:rFonts w:ascii="Times New Roman" w:hAnsi="Times New Roman"/>
          <w:b w:val="false"/>
          <w:i w:val="false"/>
          <w:color w:val="000000"/>
          <w:sz w:val="22"/>
        </w:rPr>
        <w:t>Product safety chemical data sheets</w:t>
      </w:r>
    </w:p>
    <w:p>
      <w:pPr>
        <w:spacing w:before="0" w:after="0"/>
        <w:ind w:left="120"/>
        <w:jc w:val="both"/>
      </w:pPr>
      <w:r>
        <w:rPr>
          <w:rFonts w:ascii="Times New Roman" w:hAnsi="Times New Roman"/>
          <w:b w:val="false"/>
          <w:i w:val="false"/>
          <w:color w:val="000000"/>
          <w:sz w:val="22"/>
        </w:rPr>
        <w:t>Professional and technical associations, correspondence and general information</w:t>
      </w:r>
    </w:p>
    <w:p>
      <w:pPr>
        <w:spacing w:before="0" w:after="0"/>
        <w:ind w:left="120"/>
        <w:jc w:val="both"/>
      </w:pPr>
      <w:r>
        <w:rPr>
          <w:rFonts w:ascii="Times New Roman" w:hAnsi="Times New Roman"/>
          <w:b w:val="false"/>
          <w:i w:val="false"/>
          <w:color w:val="000000"/>
          <w:sz w:val="22"/>
        </w:rPr>
        <w:t>Public records docket</w:t>
      </w:r>
    </w:p>
    <w:p>
      <w:pPr>
        <w:spacing w:before="0" w:after="0"/>
        <w:ind w:left="120"/>
        <w:jc w:val="both"/>
      </w:pPr>
      <w:r>
        <w:rPr>
          <w:rFonts w:ascii="Times New Roman" w:hAnsi="Times New Roman"/>
          <w:b w:val="false"/>
          <w:i w:val="false"/>
          <w:color w:val="000000"/>
          <w:sz w:val="22"/>
        </w:rPr>
        <w:t>Publications</w:t>
      </w:r>
    </w:p>
    <w:p>
      <w:pPr>
        <w:spacing w:before="0" w:after="0"/>
        <w:ind w:left="120"/>
        <w:jc w:val="both"/>
      </w:pPr>
      <w:r>
        <w:rPr>
          <w:rFonts w:ascii="Times New Roman" w:hAnsi="Times New Roman"/>
          <w:b w:val="false"/>
          <w:i w:val="false"/>
          <w:color w:val="000000"/>
          <w:sz w:val="22"/>
        </w:rPr>
        <w:t>Rehabilitation administrative management program, general information and correspondence</w:t>
      </w:r>
    </w:p>
    <w:p>
      <w:pPr>
        <w:spacing w:before="0" w:after="0"/>
        <w:ind w:left="120"/>
        <w:jc w:val="both"/>
      </w:pPr>
      <w:r>
        <w:rPr>
          <w:rFonts w:ascii="Times New Roman" w:hAnsi="Times New Roman"/>
          <w:b w:val="false"/>
          <w:i w:val="false"/>
          <w:color w:val="000000"/>
          <w:sz w:val="22"/>
        </w:rPr>
        <w:t>Rehabnet, general information and memos</w:t>
      </w:r>
    </w:p>
    <w:p>
      <w:pPr>
        <w:spacing w:before="0" w:after="0"/>
        <w:ind w:left="120"/>
        <w:jc w:val="both"/>
      </w:pPr>
      <w:r>
        <w:rPr>
          <w:rFonts w:ascii="Times New Roman" w:hAnsi="Times New Roman"/>
          <w:b w:val="false"/>
          <w:i w:val="false"/>
          <w:color w:val="000000"/>
          <w:sz w:val="22"/>
        </w:rPr>
        <w:t>Rental and lease agreements</w:t>
      </w:r>
    </w:p>
    <w:p>
      <w:pPr>
        <w:spacing w:before="0" w:after="0"/>
        <w:ind w:left="120"/>
        <w:jc w:val="both"/>
      </w:pPr>
      <w:r>
        <w:rPr>
          <w:rFonts w:ascii="Times New Roman" w:hAnsi="Times New Roman"/>
          <w:b w:val="false"/>
          <w:i w:val="false"/>
          <w:color w:val="000000"/>
          <w:sz w:val="22"/>
        </w:rPr>
        <w:t>Sixtieth anniversary, general information</w:t>
      </w:r>
    </w:p>
    <w:p>
      <w:pPr>
        <w:spacing w:before="0" w:after="0"/>
        <w:ind w:left="120"/>
        <w:jc w:val="both"/>
      </w:pPr>
      <w:r>
        <w:rPr>
          <w:rFonts w:ascii="Times New Roman" w:hAnsi="Times New Roman"/>
          <w:b w:val="false"/>
          <w:i w:val="false"/>
          <w:color w:val="000000"/>
          <w:sz w:val="22"/>
        </w:rPr>
        <w:t>Staff service certificates</w:t>
      </w:r>
    </w:p>
    <w:p>
      <w:pPr>
        <w:spacing w:before="0" w:after="0"/>
        <w:ind w:left="120"/>
        <w:jc w:val="both"/>
      </w:pPr>
      <w:r>
        <w:rPr>
          <w:rFonts w:ascii="Times New Roman" w:hAnsi="Times New Roman"/>
          <w:b w:val="false"/>
          <w:i w:val="false"/>
          <w:color w:val="000000"/>
          <w:sz w:val="22"/>
        </w:rPr>
        <w:t>State government agencies, correspondence and reports</w:t>
      </w:r>
    </w:p>
    <w:p>
      <w:pPr>
        <w:spacing w:before="0" w:after="0"/>
        <w:ind w:left="120"/>
        <w:jc w:val="both"/>
      </w:pPr>
      <w:r>
        <w:rPr>
          <w:rFonts w:ascii="Times New Roman" w:hAnsi="Times New Roman"/>
          <w:b w:val="false"/>
          <w:i w:val="false"/>
          <w:color w:val="000000"/>
          <w:sz w:val="22"/>
        </w:rPr>
        <w:t>State vehicle dispatcher monthly reports</w:t>
      </w:r>
    </w:p>
    <w:p>
      <w:pPr>
        <w:spacing w:before="0" w:after="0"/>
        <w:ind w:left="120"/>
        <w:jc w:val="both"/>
      </w:pPr>
      <w:r>
        <w:rPr>
          <w:rFonts w:ascii="Times New Roman" w:hAnsi="Times New Roman"/>
          <w:b w:val="false"/>
          <w:i w:val="false"/>
          <w:color w:val="000000"/>
          <w:sz w:val="22"/>
        </w:rPr>
        <w:t>Statements of grant awards</w:t>
      </w:r>
    </w:p>
    <w:p>
      <w:pPr>
        <w:spacing w:before="0" w:after="0"/>
        <w:ind w:left="120"/>
        <w:jc w:val="both"/>
      </w:pPr>
      <w:r>
        <w:rPr>
          <w:rFonts w:ascii="Times New Roman" w:hAnsi="Times New Roman"/>
          <w:b w:val="false"/>
          <w:i w:val="false"/>
          <w:color w:val="000000"/>
          <w:sz w:val="22"/>
        </w:rPr>
        <w:t>Studies, surveys and proposals</w:t>
      </w:r>
    </w:p>
    <w:p>
      <w:pPr>
        <w:spacing w:before="0" w:after="0"/>
        <w:ind w:left="120"/>
        <w:jc w:val="both"/>
      </w:pPr>
      <w:r>
        <w:rPr>
          <w:rFonts w:ascii="Times New Roman" w:hAnsi="Times New Roman"/>
          <w:b w:val="false"/>
          <w:i w:val="false"/>
          <w:color w:val="000000"/>
          <w:sz w:val="22"/>
        </w:rPr>
        <w:t>28E agreements</w:t>
      </w:r>
    </w:p>
    <w:p>
      <w:pPr>
        <w:spacing w:before="0" w:after="0"/>
        <w:ind w:left="120"/>
        <w:jc w:val="both"/>
      </w:pPr>
      <w:r>
        <w:rPr>
          <w:rFonts w:ascii="Times New Roman" w:hAnsi="Times New Roman"/>
          <w:b w:val="false"/>
          <w:i w:val="false"/>
          <w:color w:val="000000"/>
          <w:sz w:val="22"/>
        </w:rPr>
        <w:t>Utility consumption and cost data (c)</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BUSINESS ENTERPRISE PROGRAM</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Blueprints and equipment layouts</w:t>
      </w:r>
    </w:p>
    <w:p>
      <w:pPr>
        <w:spacing w:before="0" w:after="0"/>
        <w:ind w:left="120"/>
        <w:jc w:val="both"/>
      </w:pPr>
      <w:r>
        <w:rPr>
          <w:rFonts w:ascii="Times New Roman" w:hAnsi="Times New Roman"/>
          <w:b w:val="false"/>
          <w:i w:val="false"/>
          <w:color w:val="000000"/>
          <w:sz w:val="22"/>
        </w:rPr>
        <w:t>Randolph-Sheppard Act</w:t>
      </w:r>
    </w:p>
    <w:p>
      <w:pPr>
        <w:spacing w:before="0" w:after="0"/>
        <w:ind w:left="120"/>
        <w:jc w:val="both"/>
      </w:pPr>
      <w:r>
        <w:rPr>
          <w:rFonts w:ascii="Times New Roman" w:hAnsi="Times New Roman"/>
          <w:b w:val="false"/>
          <w:i w:val="false"/>
          <w:color w:val="000000"/>
          <w:sz w:val="22"/>
        </w:rPr>
        <w:t>State plan, Randolph-Sheppard Act</w:t>
      </w:r>
    </w:p>
    <w:p>
      <w:pPr>
        <w:spacing w:before="0" w:after="0"/>
        <w:ind w:left="120"/>
        <w:jc w:val="both"/>
      </w:pPr>
      <w:r>
        <w:rPr>
          <w:rFonts w:ascii="Times New Roman" w:hAnsi="Times New Roman"/>
          <w:b w:val="false"/>
          <w:i w:val="false"/>
          <w:color w:val="000000"/>
          <w:sz w:val="22"/>
        </w:rPr>
        <w:t>Vendor forms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INDEPENDENT LIVING REHABILITATION SERVICES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CSAVR independent living committee</w:t>
      </w:r>
    </w:p>
    <w:p>
      <w:pPr>
        <w:spacing w:before="0" w:after="0"/>
        <w:ind w:left="120"/>
        <w:jc w:val="both"/>
      </w:pPr>
      <w:r>
        <w:rPr>
          <w:rFonts w:ascii="Times New Roman" w:hAnsi="Times New Roman"/>
          <w:b w:val="false"/>
          <w:i w:val="false"/>
          <w:color w:val="000000"/>
          <w:sz w:val="22"/>
        </w:rPr>
        <w:t>Deaf-blind register</w:t>
      </w:r>
    </w:p>
    <w:p>
      <w:pPr>
        <w:spacing w:before="0" w:after="0"/>
        <w:ind w:left="120"/>
        <w:jc w:val="both"/>
      </w:pPr>
      <w:r>
        <w:rPr>
          <w:rFonts w:ascii="Times New Roman" w:hAnsi="Times New Roman"/>
          <w:b w:val="false"/>
          <w:i w:val="false"/>
          <w:color w:val="000000"/>
          <w:sz w:val="22"/>
        </w:rPr>
        <w:t>Grant applications and instructional memos</w:t>
      </w:r>
    </w:p>
    <w:p>
      <w:pPr>
        <w:spacing w:before="0" w:after="0"/>
        <w:ind w:left="120"/>
        <w:jc w:val="both"/>
      </w:pPr>
      <w:r>
        <w:rPr>
          <w:rFonts w:ascii="Times New Roman" w:hAnsi="Times New Roman"/>
          <w:b w:val="false"/>
          <w:i w:val="false"/>
          <w:color w:val="000000"/>
          <w:sz w:val="22"/>
        </w:rPr>
        <w:t>Independent living advisory committee, general information and minutes</w:t>
      </w:r>
    </w:p>
    <w:p>
      <w:pPr>
        <w:spacing w:before="0" w:after="0"/>
        <w:ind w:left="120"/>
        <w:jc w:val="both"/>
      </w:pPr>
      <w:r>
        <w:rPr>
          <w:rFonts w:ascii="Times New Roman" w:hAnsi="Times New Roman"/>
          <w:b w:val="false"/>
          <w:i w:val="false"/>
          <w:color w:val="000000"/>
          <w:sz w:val="22"/>
        </w:rPr>
        <w:t>Independent living forms</w:t>
      </w:r>
    </w:p>
    <w:p>
      <w:pPr>
        <w:spacing w:before="0" w:after="0"/>
        <w:ind w:left="120"/>
        <w:jc w:val="both"/>
      </w:pPr>
      <w:r>
        <w:rPr>
          <w:rFonts w:ascii="Times New Roman" w:hAnsi="Times New Roman"/>
          <w:b w:val="false"/>
          <w:i w:val="false"/>
          <w:color w:val="000000"/>
          <w:sz w:val="22"/>
        </w:rPr>
        <w:t>Independent living procedure memos and schedules</w:t>
      </w:r>
    </w:p>
    <w:p>
      <w:pPr>
        <w:spacing w:before="0" w:after="0"/>
        <w:ind w:left="120"/>
        <w:jc w:val="both"/>
      </w:pPr>
      <w:r>
        <w:rPr>
          <w:rFonts w:ascii="Times New Roman" w:hAnsi="Times New Roman"/>
          <w:b w:val="false"/>
          <w:i w:val="false"/>
          <w:color w:val="000000"/>
          <w:sz w:val="22"/>
        </w:rPr>
        <w:t>In-service training grant, application and agendas</w:t>
      </w:r>
    </w:p>
    <w:p>
      <w:pPr>
        <w:spacing w:before="0" w:after="0"/>
        <w:ind w:left="120"/>
        <w:jc w:val="both"/>
      </w:pPr>
      <w:r>
        <w:rPr>
          <w:rFonts w:ascii="Times New Roman" w:hAnsi="Times New Roman"/>
          <w:b w:val="false"/>
          <w:i w:val="false"/>
          <w:color w:val="000000"/>
          <w:sz w:val="22"/>
        </w:rPr>
        <w:t>Part C announcements and reference materials</w:t>
      </w:r>
    </w:p>
    <w:p>
      <w:pPr>
        <w:spacing w:before="0" w:after="0"/>
        <w:ind w:left="120"/>
        <w:jc w:val="both"/>
      </w:pPr>
      <w:r>
        <w:rPr>
          <w:rFonts w:ascii="Times New Roman" w:hAnsi="Times New Roman"/>
          <w:b w:val="false"/>
          <w:i w:val="false"/>
          <w:color w:val="000000"/>
          <w:sz w:val="22"/>
        </w:rPr>
        <w:t>RCEP training advisory committee, general information and correspondence</w:t>
      </w:r>
    </w:p>
    <w:p>
      <w:pPr>
        <w:spacing w:before="0" w:after="0"/>
        <w:ind w:left="120"/>
        <w:jc w:val="both"/>
      </w:pPr>
      <w:r>
        <w:rPr>
          <w:rFonts w:ascii="Times New Roman" w:hAnsi="Times New Roman"/>
          <w:b w:val="false"/>
          <w:i w:val="false"/>
          <w:color w:val="000000"/>
          <w:sz w:val="22"/>
        </w:rPr>
        <w:t>Reference materials on alternative techniques</w:t>
      </w:r>
    </w:p>
    <w:p>
      <w:pPr>
        <w:spacing w:before="0" w:after="0"/>
        <w:ind w:left="120"/>
        <w:jc w:val="both"/>
      </w:pPr>
      <w:r>
        <w:rPr>
          <w:rFonts w:ascii="Times New Roman" w:hAnsi="Times New Roman"/>
          <w:b w:val="false"/>
          <w:i w:val="false"/>
          <w:color w:val="000000"/>
          <w:sz w:val="22"/>
        </w:rPr>
        <w:t>RSA 704 report</w:t>
      </w:r>
    </w:p>
    <w:p>
      <w:pPr>
        <w:spacing w:before="0" w:after="0"/>
        <w:ind w:left="120"/>
        <w:jc w:val="both"/>
      </w:pPr>
      <w:r>
        <w:rPr>
          <w:rFonts w:ascii="Times New Roman" w:hAnsi="Times New Roman"/>
          <w:b w:val="false"/>
          <w:i w:val="false"/>
          <w:color w:val="000000"/>
          <w:sz w:val="22"/>
        </w:rPr>
        <w:t>RSA 7OB report</w:t>
      </w:r>
    </w:p>
    <w:p>
      <w:pPr>
        <w:spacing w:before="0" w:after="0"/>
        <w:ind w:left="120"/>
        <w:jc w:val="both"/>
      </w:pPr>
      <w:r>
        <w:rPr>
          <w:rFonts w:ascii="Times New Roman" w:hAnsi="Times New Roman"/>
          <w:b w:val="false"/>
          <w:i w:val="false"/>
          <w:color w:val="000000"/>
          <w:sz w:val="22"/>
        </w:rPr>
        <w:t>Special project grant, 1983</w:t>
      </w:r>
    </w:p>
    <w:p>
      <w:pPr>
        <w:spacing w:before="0" w:after="0"/>
        <w:ind w:left="120"/>
        <w:jc w:val="both"/>
      </w:pPr>
      <w:r>
        <w:rPr>
          <w:rFonts w:ascii="Times New Roman" w:hAnsi="Times New Roman"/>
          <w:b w:val="false"/>
          <w:i w:val="false"/>
          <w:color w:val="000000"/>
          <w:sz w:val="22"/>
        </w:rPr>
        <w:t>State plan for independent living services</w:t>
      </w:r>
    </w:p>
    <w:p>
      <w:pPr>
        <w:spacing w:before="0" w:after="0"/>
        <w:ind w:left="120"/>
        <w:jc w:val="both"/>
      </w:pPr>
      <w:r>
        <w:rPr>
          <w:rFonts w:ascii="Times New Roman" w:hAnsi="Times New Roman"/>
          <w:b w:val="false"/>
          <w:i w:val="false"/>
          <w:color w:val="000000"/>
          <w:sz w:val="22"/>
        </w:rPr>
        <w:t>Statewide independent living council, general information and minutes</w:t>
      </w:r>
    </w:p>
    <w:p>
      <w:pPr>
        <w:spacing w:before="0" w:after="0"/>
        <w:ind w:left="120"/>
        <w:jc w:val="both"/>
      </w:pPr>
      <w:r>
        <w:rPr>
          <w:rFonts w:ascii="Times New Roman" w:hAnsi="Times New Roman"/>
          <w:b w:val="false"/>
          <w:i w:val="false"/>
          <w:color w:val="000000"/>
          <w:sz w:val="22"/>
        </w:rPr>
        <w:t>Title VII, part b grant, reports and correspondence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LIBRARY FOR THE BLIND AND PHYSICALLY HANDICAPPED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Acquisition of bibles, general information</w:t>
      </w:r>
    </w:p>
    <w:p>
      <w:pPr>
        <w:spacing w:before="0" w:after="0"/>
        <w:ind w:left="120"/>
        <w:jc w:val="both"/>
      </w:pPr>
      <w:r>
        <w:rPr>
          <w:rFonts w:ascii="Times New Roman" w:hAnsi="Times New Roman"/>
          <w:b w:val="false"/>
          <w:i w:val="false"/>
          <w:color w:val="000000"/>
          <w:sz w:val="22"/>
        </w:rPr>
        <w:t>American printing house for the blind federal quota orders</w:t>
      </w:r>
    </w:p>
    <w:p>
      <w:pPr>
        <w:spacing w:before="0" w:after="0"/>
        <w:ind w:left="120"/>
        <w:jc w:val="both"/>
      </w:pPr>
      <w:r>
        <w:rPr>
          <w:rFonts w:ascii="Times New Roman" w:hAnsi="Times New Roman"/>
          <w:b w:val="false"/>
          <w:i w:val="false"/>
          <w:color w:val="000000"/>
          <w:sz w:val="22"/>
        </w:rPr>
        <w:t>American federation for the blind directory of agencies</w:t>
      </w:r>
    </w:p>
    <w:p>
      <w:pPr>
        <w:spacing w:before="0" w:after="0"/>
        <w:ind w:left="120"/>
        <w:jc w:val="both"/>
      </w:pPr>
      <w:r>
        <w:rPr>
          <w:rFonts w:ascii="Times New Roman" w:hAnsi="Times New Roman"/>
          <w:b w:val="false"/>
          <w:i w:val="false"/>
          <w:color w:val="000000"/>
          <w:sz w:val="22"/>
        </w:rPr>
        <w:t>APH central automated resource list</w:t>
      </w:r>
    </w:p>
    <w:p>
      <w:pPr>
        <w:spacing w:before="0" w:after="0"/>
        <w:ind w:left="120"/>
        <w:jc w:val="both"/>
      </w:pPr>
      <w:r>
        <w:rPr>
          <w:rFonts w:ascii="Times New Roman" w:hAnsi="Times New Roman"/>
          <w:b w:val="false"/>
          <w:i w:val="false"/>
          <w:color w:val="000000"/>
          <w:sz w:val="22"/>
        </w:rPr>
        <w:t>Application transfer technique study</w:t>
      </w:r>
    </w:p>
    <w:p>
      <w:pPr>
        <w:spacing w:before="0" w:after="0"/>
        <w:ind w:left="120"/>
        <w:jc w:val="both"/>
      </w:pPr>
      <w:r>
        <w:rPr>
          <w:rFonts w:ascii="Times New Roman" w:hAnsi="Times New Roman"/>
          <w:b w:val="false"/>
          <w:i w:val="false"/>
          <w:color w:val="000000"/>
          <w:sz w:val="22"/>
        </w:rPr>
        <w:t>Bibliographies, by subject</w:t>
      </w:r>
    </w:p>
    <w:p>
      <w:pPr>
        <w:spacing w:before="0" w:after="0"/>
        <w:ind w:left="120"/>
        <w:jc w:val="both"/>
      </w:pPr>
      <w:r>
        <w:rPr>
          <w:rFonts w:ascii="Times New Roman" w:hAnsi="Times New Roman"/>
          <w:b w:val="false"/>
          <w:i w:val="false"/>
          <w:color w:val="000000"/>
          <w:sz w:val="22"/>
        </w:rPr>
        <w:t>Bindery tracking records</w:t>
      </w:r>
    </w:p>
    <w:p>
      <w:pPr>
        <w:spacing w:before="0" w:after="0"/>
        <w:ind w:left="120"/>
        <w:jc w:val="both"/>
      </w:pPr>
      <w:r>
        <w:rPr>
          <w:rFonts w:ascii="Times New Roman" w:hAnsi="Times New Roman"/>
          <w:b w:val="false"/>
          <w:i w:val="false"/>
          <w:color w:val="000000"/>
          <w:sz w:val="22"/>
        </w:rPr>
        <w:t>Book inspection survey</w:t>
      </w:r>
    </w:p>
    <w:p>
      <w:pPr>
        <w:spacing w:before="0" w:after="0"/>
        <w:ind w:left="120"/>
        <w:jc w:val="both"/>
      </w:pPr>
      <w:r>
        <w:rPr>
          <w:rFonts w:ascii="Times New Roman" w:hAnsi="Times New Roman"/>
          <w:b w:val="false"/>
          <w:i w:val="false"/>
          <w:color w:val="000000"/>
          <w:sz w:val="22"/>
        </w:rPr>
        <w:t>Books proofread for sale, listing</w:t>
      </w:r>
    </w:p>
    <w:p>
      <w:pPr>
        <w:spacing w:before="0" w:after="0"/>
        <w:ind w:left="120"/>
        <w:jc w:val="both"/>
      </w:pPr>
      <w:r>
        <w:rPr>
          <w:rFonts w:ascii="Times New Roman" w:hAnsi="Times New Roman"/>
          <w:b w:val="false"/>
          <w:i w:val="false"/>
          <w:color w:val="000000"/>
          <w:sz w:val="22"/>
        </w:rPr>
        <w:t>Braille alphabet cards</w:t>
      </w:r>
    </w:p>
    <w:p>
      <w:pPr>
        <w:spacing w:before="0" w:after="0"/>
        <w:ind w:left="120"/>
        <w:jc w:val="both"/>
      </w:pPr>
      <w:r>
        <w:rPr>
          <w:rFonts w:ascii="Times New Roman" w:hAnsi="Times New Roman"/>
          <w:b w:val="false"/>
          <w:i w:val="false"/>
          <w:color w:val="000000"/>
          <w:sz w:val="22"/>
        </w:rPr>
        <w:t>Braille instruction manuals and sign booklets</w:t>
      </w:r>
    </w:p>
    <w:p>
      <w:pPr>
        <w:spacing w:before="0" w:after="0"/>
        <w:ind w:left="120"/>
        <w:jc w:val="both"/>
      </w:pPr>
      <w:r>
        <w:rPr>
          <w:rFonts w:ascii="Times New Roman" w:hAnsi="Times New Roman"/>
          <w:b w:val="false"/>
          <w:i w:val="false"/>
          <w:color w:val="000000"/>
          <w:sz w:val="22"/>
        </w:rPr>
        <w:t>Brochures from other libraries for the blind</w:t>
      </w:r>
    </w:p>
    <w:p>
      <w:pPr>
        <w:spacing w:before="0" w:after="0"/>
        <w:ind w:left="120"/>
        <w:jc w:val="both"/>
      </w:pPr>
      <w:r>
        <w:rPr>
          <w:rFonts w:ascii="Times New Roman" w:hAnsi="Times New Roman"/>
          <w:b w:val="false"/>
          <w:i w:val="false"/>
          <w:color w:val="000000"/>
          <w:sz w:val="22"/>
        </w:rPr>
        <w:t>Card catalog microfilming information</w:t>
      </w:r>
    </w:p>
    <w:p>
      <w:pPr>
        <w:spacing w:before="0" w:after="0"/>
        <w:ind w:left="120"/>
        <w:jc w:val="both"/>
      </w:pPr>
      <w:r>
        <w:rPr>
          <w:rFonts w:ascii="Times New Roman" w:hAnsi="Times New Roman"/>
          <w:b w:val="false"/>
          <w:i w:val="false"/>
          <w:color w:val="000000"/>
          <w:sz w:val="22"/>
        </w:rPr>
        <w:t>Card catalog uniform entries authority</w:t>
      </w:r>
    </w:p>
    <w:p>
      <w:pPr>
        <w:spacing w:before="0" w:after="0"/>
        <w:ind w:left="120"/>
        <w:jc w:val="both"/>
      </w:pPr>
      <w:r>
        <w:rPr>
          <w:rFonts w:ascii="Times New Roman" w:hAnsi="Times New Roman"/>
          <w:b w:val="false"/>
          <w:i w:val="false"/>
          <w:color w:val="000000"/>
          <w:sz w:val="22"/>
        </w:rPr>
        <w:t>Card file of print books about blindness</w:t>
      </w:r>
    </w:p>
    <w:p>
      <w:pPr>
        <w:spacing w:before="0" w:after="0"/>
        <w:ind w:left="120"/>
        <w:jc w:val="both"/>
      </w:pPr>
      <w:r>
        <w:rPr>
          <w:rFonts w:ascii="Times New Roman" w:hAnsi="Times New Roman"/>
          <w:b w:val="false"/>
          <w:i w:val="false"/>
          <w:color w:val="000000"/>
          <w:sz w:val="22"/>
        </w:rPr>
        <w:t>Card file of cassettes processed</w:t>
      </w:r>
    </w:p>
    <w:p>
      <w:pPr>
        <w:spacing w:before="0" w:after="0"/>
        <w:ind w:left="120"/>
        <w:jc w:val="both"/>
      </w:pPr>
      <w:r>
        <w:rPr>
          <w:rFonts w:ascii="Times New Roman" w:hAnsi="Times New Roman"/>
          <w:b w:val="false"/>
          <w:i w:val="false"/>
          <w:color w:val="000000"/>
          <w:sz w:val="22"/>
        </w:rPr>
        <w:t>Cassette books, number assignment record</w:t>
      </w:r>
    </w:p>
    <w:p>
      <w:pPr>
        <w:spacing w:before="0" w:after="0"/>
        <w:ind w:left="120"/>
        <w:jc w:val="both"/>
      </w:pPr>
      <w:r>
        <w:rPr>
          <w:rFonts w:ascii="Times New Roman" w:hAnsi="Times New Roman"/>
          <w:b w:val="false"/>
          <w:i w:val="false"/>
          <w:color w:val="000000"/>
          <w:sz w:val="22"/>
        </w:rPr>
        <w:t>Catalog production and master records</w:t>
      </w:r>
    </w:p>
    <w:p>
      <w:pPr>
        <w:spacing w:before="0" w:after="0"/>
        <w:ind w:left="120"/>
        <w:jc w:val="both"/>
      </w:pPr>
      <w:r>
        <w:rPr>
          <w:rFonts w:ascii="Times New Roman" w:hAnsi="Times New Roman"/>
          <w:b w:val="false"/>
          <w:i w:val="false"/>
          <w:color w:val="000000"/>
          <w:sz w:val="22"/>
        </w:rPr>
        <w:t>Censorship, general information</w:t>
      </w:r>
    </w:p>
    <w:p>
      <w:pPr>
        <w:spacing w:before="0" w:after="0"/>
        <w:ind w:left="120"/>
        <w:jc w:val="both"/>
      </w:pPr>
      <w:r>
        <w:rPr>
          <w:rFonts w:ascii="Times New Roman" w:hAnsi="Times New Roman"/>
          <w:b w:val="false"/>
          <w:i w:val="false"/>
          <w:color w:val="000000"/>
          <w:sz w:val="22"/>
        </w:rPr>
        <w:t>Circulation, general information</w:t>
      </w:r>
    </w:p>
    <w:p>
      <w:pPr>
        <w:spacing w:before="0" w:after="0"/>
        <w:ind w:left="120"/>
        <w:jc w:val="both"/>
      </w:pPr>
      <w:r>
        <w:rPr>
          <w:rFonts w:ascii="Times New Roman" w:hAnsi="Times New Roman"/>
          <w:b w:val="false"/>
          <w:i w:val="false"/>
          <w:color w:val="000000"/>
          <w:sz w:val="22"/>
        </w:rPr>
        <w:t>Comprehensive mailing list system (CMLS), general information</w:t>
      </w:r>
    </w:p>
    <w:p>
      <w:pPr>
        <w:spacing w:before="0" w:after="0"/>
        <w:ind w:left="120"/>
        <w:jc w:val="both"/>
      </w:pPr>
      <w:r>
        <w:rPr>
          <w:rFonts w:ascii="Times New Roman" w:hAnsi="Times New Roman"/>
          <w:b w:val="false"/>
          <w:i w:val="false"/>
          <w:color w:val="000000"/>
          <w:sz w:val="22"/>
        </w:rPr>
        <w:t>Computer installation information</w:t>
      </w:r>
    </w:p>
    <w:p>
      <w:pPr>
        <w:spacing w:before="0" w:after="0"/>
        <w:ind w:left="120"/>
        <w:jc w:val="both"/>
      </w:pPr>
      <w:r>
        <w:rPr>
          <w:rFonts w:ascii="Times New Roman" w:hAnsi="Times New Roman"/>
          <w:b w:val="false"/>
          <w:i w:val="false"/>
          <w:color w:val="000000"/>
          <w:sz w:val="22"/>
        </w:rPr>
        <w:t>Computer software and software manuals</w:t>
      </w:r>
    </w:p>
    <w:p>
      <w:pPr>
        <w:spacing w:before="0" w:after="0"/>
        <w:ind w:left="120"/>
        <w:jc w:val="both"/>
      </w:pPr>
      <w:r>
        <w:rPr>
          <w:rFonts w:ascii="Times New Roman" w:hAnsi="Times New Roman"/>
          <w:b w:val="false"/>
          <w:i w:val="false"/>
          <w:color w:val="000000"/>
          <w:sz w:val="22"/>
        </w:rPr>
        <w:t>Copyright clearance records</w:t>
      </w:r>
    </w:p>
    <w:p>
      <w:pPr>
        <w:spacing w:before="0" w:after="0"/>
        <w:ind w:left="120"/>
        <w:jc w:val="both"/>
      </w:pPr>
      <w:r>
        <w:rPr>
          <w:rFonts w:ascii="Times New Roman" w:hAnsi="Times New Roman"/>
          <w:b w:val="false"/>
          <w:i w:val="false"/>
          <w:color w:val="000000"/>
          <w:sz w:val="22"/>
        </w:rPr>
        <w:t>Deaf-blindness, general information</w:t>
      </w:r>
    </w:p>
    <w:p>
      <w:pPr>
        <w:spacing w:before="0" w:after="0"/>
        <w:ind w:left="120"/>
        <w:jc w:val="both"/>
      </w:pPr>
      <w:r>
        <w:rPr>
          <w:rFonts w:ascii="Times New Roman" w:hAnsi="Times New Roman"/>
          <w:b w:val="false"/>
          <w:i w:val="false"/>
          <w:color w:val="000000"/>
          <w:sz w:val="22"/>
        </w:rPr>
        <w:t>Diebold repairs, general information</w:t>
      </w:r>
    </w:p>
    <w:p>
      <w:pPr>
        <w:spacing w:before="0" w:after="0"/>
        <w:ind w:left="120"/>
        <w:jc w:val="both"/>
      </w:pPr>
      <w:r>
        <w:rPr>
          <w:rFonts w:ascii="Times New Roman" w:hAnsi="Times New Roman"/>
          <w:b w:val="false"/>
          <w:i w:val="false"/>
          <w:color w:val="000000"/>
          <w:sz w:val="22"/>
        </w:rPr>
        <w:t>Disabilities, general information</w:t>
      </w:r>
    </w:p>
    <w:p>
      <w:pPr>
        <w:spacing w:before="0" w:after="0"/>
        <w:ind w:left="120"/>
        <w:jc w:val="both"/>
      </w:pPr>
      <w:r>
        <w:rPr>
          <w:rFonts w:ascii="Times New Roman" w:hAnsi="Times New Roman"/>
          <w:b w:val="false"/>
          <w:i w:val="false"/>
          <w:color w:val="000000"/>
          <w:sz w:val="22"/>
        </w:rPr>
        <w:t>Duplicators, general information</w:t>
      </w:r>
    </w:p>
    <w:p>
      <w:pPr>
        <w:spacing w:before="0" w:after="0"/>
        <w:ind w:left="120"/>
        <w:jc w:val="both"/>
      </w:pPr>
      <w:r>
        <w:rPr>
          <w:rFonts w:ascii="Times New Roman" w:hAnsi="Times New Roman"/>
          <w:b w:val="false"/>
          <w:i w:val="false"/>
          <w:color w:val="000000"/>
          <w:sz w:val="22"/>
        </w:rPr>
        <w:t>EI cassette instructional video</w:t>
      </w:r>
    </w:p>
    <w:p>
      <w:pPr>
        <w:spacing w:before="0" w:after="0"/>
        <w:ind w:left="120"/>
        <w:jc w:val="both"/>
      </w:pPr>
      <w:r>
        <w:rPr>
          <w:rFonts w:ascii="Times New Roman" w:hAnsi="Times New Roman"/>
          <w:b w:val="false"/>
          <w:i w:val="false"/>
          <w:color w:val="000000"/>
          <w:sz w:val="22"/>
        </w:rPr>
        <w:t>Eligibility, general information</w:t>
      </w:r>
    </w:p>
    <w:p>
      <w:pPr>
        <w:spacing w:before="0" w:after="0"/>
        <w:ind w:left="120"/>
        <w:jc w:val="both"/>
      </w:pPr>
      <w:r>
        <w:rPr>
          <w:rFonts w:ascii="Times New Roman" w:hAnsi="Times New Roman"/>
          <w:b w:val="false"/>
          <w:i w:val="false"/>
          <w:color w:val="000000"/>
          <w:sz w:val="22"/>
        </w:rPr>
        <w:t>Equal employment opportunity, general information</w:t>
      </w:r>
    </w:p>
    <w:p>
      <w:pPr>
        <w:spacing w:before="0" w:after="0"/>
        <w:ind w:left="120"/>
        <w:jc w:val="both"/>
      </w:pPr>
      <w:r>
        <w:rPr>
          <w:rFonts w:ascii="Times New Roman" w:hAnsi="Times New Roman"/>
          <w:b w:val="false"/>
          <w:i w:val="false"/>
          <w:color w:val="000000"/>
          <w:sz w:val="22"/>
        </w:rPr>
        <w:t>Equipment manuals</w:t>
      </w:r>
    </w:p>
    <w:p>
      <w:pPr>
        <w:spacing w:before="0" w:after="0"/>
        <w:ind w:left="120"/>
        <w:jc w:val="both"/>
      </w:pPr>
      <w:r>
        <w:rPr>
          <w:rFonts w:ascii="Times New Roman" w:hAnsi="Times New Roman"/>
          <w:b w:val="false"/>
          <w:i w:val="false"/>
          <w:color w:val="000000"/>
          <w:sz w:val="22"/>
        </w:rPr>
        <w:t>Forms, inventory and masters (c)</w:t>
      </w:r>
    </w:p>
    <w:p>
      <w:pPr>
        <w:spacing w:before="0" w:after="0"/>
        <w:ind w:left="120"/>
        <w:jc w:val="both"/>
      </w:pPr>
      <w:r>
        <w:rPr>
          <w:rFonts w:ascii="Times New Roman" w:hAnsi="Times New Roman"/>
          <w:b w:val="false"/>
          <w:i w:val="false"/>
          <w:color w:val="000000"/>
          <w:sz w:val="22"/>
        </w:rPr>
        <w:t>Free matter for the blind and physically handicapped, general information</w:t>
      </w:r>
    </w:p>
    <w:p>
      <w:pPr>
        <w:spacing w:before="0" w:after="0"/>
        <w:ind w:left="120"/>
        <w:jc w:val="both"/>
      </w:pPr>
      <w:r>
        <w:rPr>
          <w:rFonts w:ascii="Times New Roman" w:hAnsi="Times New Roman"/>
          <w:b w:val="false"/>
          <w:i w:val="false"/>
          <w:color w:val="000000"/>
          <w:sz w:val="22"/>
        </w:rPr>
        <w:t>General library statistics</w:t>
      </w:r>
    </w:p>
    <w:p>
      <w:pPr>
        <w:spacing w:before="0" w:after="0"/>
        <w:ind w:left="120"/>
        <w:jc w:val="both"/>
      </w:pPr>
      <w:r>
        <w:rPr>
          <w:rFonts w:ascii="Times New Roman" w:hAnsi="Times New Roman"/>
          <w:b w:val="false"/>
          <w:i w:val="false"/>
          <w:color w:val="000000"/>
          <w:sz w:val="22"/>
        </w:rPr>
        <w:t>Guidelines for tapists</w:t>
      </w:r>
    </w:p>
    <w:p>
      <w:pPr>
        <w:spacing w:before="0" w:after="0"/>
        <w:ind w:left="120"/>
        <w:jc w:val="both"/>
      </w:pPr>
      <w:r>
        <w:rPr>
          <w:rFonts w:ascii="Times New Roman" w:hAnsi="Times New Roman"/>
          <w:b w:val="false"/>
          <w:i w:val="false"/>
          <w:color w:val="000000"/>
          <w:sz w:val="22"/>
        </w:rPr>
        <w:t>Health care facilities in Iowa, listing</w:t>
      </w:r>
    </w:p>
    <w:p>
      <w:pPr>
        <w:spacing w:before="0" w:after="0"/>
        <w:ind w:left="120"/>
        <w:jc w:val="both"/>
      </w:pPr>
      <w:r>
        <w:rPr>
          <w:rFonts w:ascii="Times New Roman" w:hAnsi="Times New Roman"/>
          <w:b w:val="false"/>
          <w:i w:val="false"/>
          <w:color w:val="000000"/>
          <w:sz w:val="22"/>
        </w:rPr>
        <w:t>Historical collection of uncataloged examples of tactile systems</w:t>
      </w:r>
    </w:p>
    <w:p>
      <w:pPr>
        <w:spacing w:before="0" w:after="0"/>
        <w:ind w:left="120"/>
        <w:jc w:val="both"/>
      </w:pPr>
      <w:r>
        <w:rPr>
          <w:rFonts w:ascii="Times New Roman" w:hAnsi="Times New Roman"/>
          <w:b w:val="false"/>
          <w:i w:val="false"/>
          <w:color w:val="000000"/>
          <w:sz w:val="22"/>
        </w:rPr>
        <w:t>Instructional materials center, general information</w:t>
      </w:r>
    </w:p>
    <w:p>
      <w:pPr>
        <w:spacing w:before="0" w:after="0"/>
        <w:ind w:left="120"/>
        <w:jc w:val="both"/>
      </w:pPr>
      <w:r>
        <w:rPr>
          <w:rFonts w:ascii="Times New Roman" w:hAnsi="Times New Roman"/>
          <w:b w:val="false"/>
          <w:i w:val="false"/>
          <w:color w:val="000000"/>
          <w:sz w:val="22"/>
        </w:rPr>
        <w:t>Intention and completion forms for the American printing house for the blind</w:t>
      </w:r>
    </w:p>
    <w:p>
      <w:pPr>
        <w:spacing w:before="0" w:after="0"/>
        <w:ind w:left="120"/>
        <w:jc w:val="both"/>
      </w:pPr>
      <w:r>
        <w:rPr>
          <w:rFonts w:ascii="Times New Roman" w:hAnsi="Times New Roman"/>
          <w:b w:val="false"/>
          <w:i w:val="false"/>
          <w:color w:val="000000"/>
          <w:sz w:val="22"/>
        </w:rPr>
        <w:t>Iowa computer-assisted network advisory board minutes, 1985</w:t>
      </w:r>
    </w:p>
    <w:p>
      <w:pPr>
        <w:spacing w:before="0" w:after="0"/>
        <w:ind w:left="120"/>
        <w:jc w:val="both"/>
      </w:pPr>
      <w:r>
        <w:rPr>
          <w:rFonts w:ascii="Times New Roman" w:hAnsi="Times New Roman"/>
          <w:b w:val="false"/>
          <w:i w:val="false"/>
          <w:color w:val="000000"/>
          <w:sz w:val="22"/>
        </w:rPr>
        <w:t>Iowa federated women’s clubs, listing</w:t>
      </w:r>
    </w:p>
    <w:p>
      <w:pPr>
        <w:spacing w:before="0" w:after="0"/>
        <w:ind w:left="120"/>
        <w:jc w:val="both"/>
      </w:pPr>
      <w:r>
        <w:rPr>
          <w:rFonts w:ascii="Times New Roman" w:hAnsi="Times New Roman"/>
          <w:b w:val="false"/>
          <w:i w:val="false"/>
          <w:color w:val="000000"/>
          <w:sz w:val="22"/>
        </w:rPr>
        <w:t>Iowa library directory</w:t>
      </w:r>
    </w:p>
    <w:p>
      <w:pPr>
        <w:spacing w:before="0" w:after="0"/>
        <w:ind w:left="120"/>
        <w:jc w:val="both"/>
      </w:pPr>
      <w:r>
        <w:rPr>
          <w:rFonts w:ascii="Times New Roman" w:hAnsi="Times New Roman"/>
          <w:b w:val="false"/>
          <w:i w:val="false"/>
          <w:color w:val="000000"/>
          <w:sz w:val="22"/>
        </w:rPr>
        <w:t>Iowa libraries: a time to grow 1985-90 (program planning guide)</w:t>
      </w:r>
    </w:p>
    <w:p>
      <w:pPr>
        <w:spacing w:before="0" w:after="0"/>
        <w:ind w:left="120"/>
        <w:jc w:val="both"/>
      </w:pPr>
      <w:r>
        <w:rPr>
          <w:rFonts w:ascii="Times New Roman" w:hAnsi="Times New Roman"/>
          <w:b w:val="false"/>
          <w:i w:val="false"/>
          <w:color w:val="000000"/>
          <w:sz w:val="22"/>
        </w:rPr>
        <w:t>Iowa Lions foundation</w:t>
      </w:r>
    </w:p>
    <w:p>
      <w:pPr>
        <w:spacing w:before="0" w:after="0"/>
        <w:ind w:left="120"/>
        <w:jc w:val="both"/>
      </w:pPr>
      <w:r>
        <w:rPr>
          <w:rFonts w:ascii="Times New Roman" w:hAnsi="Times New Roman"/>
          <w:b w:val="false"/>
          <w:i w:val="false"/>
          <w:color w:val="000000"/>
          <w:sz w:val="22"/>
        </w:rPr>
        <w:t>Large-type format, general information</w:t>
      </w:r>
    </w:p>
    <w:p>
      <w:pPr>
        <w:spacing w:before="0" w:after="0"/>
        <w:ind w:left="120"/>
        <w:jc w:val="both"/>
      </w:pPr>
      <w:r>
        <w:rPr>
          <w:rFonts w:ascii="Times New Roman" w:hAnsi="Times New Roman"/>
          <w:b w:val="false"/>
          <w:i w:val="false"/>
          <w:color w:val="000000"/>
          <w:sz w:val="22"/>
        </w:rPr>
        <w:t>Lead worker, general information</w:t>
      </w:r>
    </w:p>
    <w:p>
      <w:pPr>
        <w:spacing w:before="0" w:after="0"/>
        <w:ind w:left="120"/>
        <w:jc w:val="both"/>
      </w:pPr>
      <w:r>
        <w:rPr>
          <w:rFonts w:ascii="Times New Roman" w:hAnsi="Times New Roman"/>
          <w:b w:val="false"/>
          <w:i w:val="false"/>
          <w:color w:val="000000"/>
          <w:sz w:val="22"/>
        </w:rPr>
        <w:t>Library automation report, 1983</w:t>
      </w:r>
    </w:p>
    <w:p>
      <w:pPr>
        <w:spacing w:before="0" w:after="0"/>
        <w:ind w:left="120"/>
        <w:jc w:val="both"/>
      </w:pPr>
      <w:r>
        <w:rPr>
          <w:rFonts w:ascii="Times New Roman" w:hAnsi="Times New Roman"/>
          <w:b w:val="false"/>
          <w:i w:val="false"/>
          <w:color w:val="000000"/>
          <w:sz w:val="22"/>
        </w:rPr>
        <w:t>Library consumer advisory committee minutes and general information</w:t>
      </w:r>
    </w:p>
    <w:p>
      <w:pPr>
        <w:spacing w:before="0" w:after="0"/>
        <w:ind w:left="120"/>
        <w:jc w:val="both"/>
      </w:pPr>
      <w:r>
        <w:rPr>
          <w:rFonts w:ascii="Times New Roman" w:hAnsi="Times New Roman"/>
          <w:b w:val="false"/>
          <w:i w:val="false"/>
          <w:color w:val="000000"/>
          <w:sz w:val="22"/>
        </w:rPr>
        <w:t>Library grants</w:t>
      </w:r>
    </w:p>
    <w:p>
      <w:pPr>
        <w:spacing w:before="0" w:after="0"/>
        <w:ind w:left="120"/>
        <w:jc w:val="both"/>
      </w:pPr>
      <w:r>
        <w:rPr>
          <w:rFonts w:ascii="Times New Roman" w:hAnsi="Times New Roman"/>
          <w:b w:val="false"/>
          <w:i w:val="false"/>
          <w:color w:val="000000"/>
          <w:sz w:val="22"/>
        </w:rPr>
        <w:t>Library materials invoices</w:t>
      </w:r>
    </w:p>
    <w:p>
      <w:pPr>
        <w:spacing w:before="0" w:after="0"/>
        <w:ind w:left="120"/>
        <w:jc w:val="both"/>
      </w:pPr>
      <w:r>
        <w:rPr>
          <w:rFonts w:ascii="Times New Roman" w:hAnsi="Times New Roman"/>
          <w:b w:val="false"/>
          <w:i w:val="false"/>
          <w:color w:val="000000"/>
          <w:sz w:val="22"/>
        </w:rPr>
        <w:t>Library staff procedures manuals</w:t>
      </w:r>
    </w:p>
    <w:p>
      <w:pPr>
        <w:spacing w:before="0" w:after="0"/>
        <w:ind w:left="120"/>
        <w:jc w:val="both"/>
      </w:pPr>
      <w:r>
        <w:rPr>
          <w:rFonts w:ascii="Times New Roman" w:hAnsi="Times New Roman"/>
          <w:b w:val="false"/>
          <w:i w:val="false"/>
          <w:color w:val="000000"/>
          <w:sz w:val="22"/>
        </w:rPr>
        <w:t>Logs, various department systems</w:t>
      </w:r>
    </w:p>
    <w:p>
      <w:pPr>
        <w:spacing w:before="0" w:after="0"/>
        <w:ind w:left="120"/>
        <w:jc w:val="both"/>
      </w:pPr>
      <w:r>
        <w:rPr>
          <w:rFonts w:ascii="Times New Roman" w:hAnsi="Times New Roman"/>
          <w:b w:val="false"/>
          <w:i w:val="false"/>
          <w:color w:val="000000"/>
          <w:sz w:val="22"/>
        </w:rPr>
        <w:t>Machines, general information</w:t>
      </w:r>
    </w:p>
    <w:p>
      <w:pPr>
        <w:spacing w:before="0" w:after="0"/>
        <w:ind w:left="120"/>
        <w:jc w:val="both"/>
      </w:pPr>
      <w:r>
        <w:rPr>
          <w:rFonts w:ascii="Times New Roman" w:hAnsi="Times New Roman"/>
          <w:b w:val="false"/>
          <w:i w:val="false"/>
          <w:color w:val="000000"/>
          <w:sz w:val="22"/>
        </w:rPr>
        <w:t>Magazine inventory</w:t>
      </w:r>
    </w:p>
    <w:p>
      <w:pPr>
        <w:spacing w:before="0" w:after="0"/>
        <w:ind w:left="120"/>
        <w:jc w:val="both"/>
      </w:pPr>
      <w:r>
        <w:rPr>
          <w:rFonts w:ascii="Times New Roman" w:hAnsi="Times New Roman"/>
          <w:b w:val="false"/>
          <w:i w:val="false"/>
          <w:color w:val="000000"/>
          <w:sz w:val="22"/>
        </w:rPr>
        <w:t>Magazine transaction merge procedures</w:t>
      </w:r>
    </w:p>
    <w:p>
      <w:pPr>
        <w:spacing w:before="0" w:after="0"/>
        <w:ind w:left="120"/>
        <w:jc w:val="both"/>
      </w:pPr>
      <w:r>
        <w:rPr>
          <w:rFonts w:ascii="Times New Roman" w:hAnsi="Times New Roman"/>
          <w:b w:val="false"/>
          <w:i w:val="false"/>
          <w:color w:val="000000"/>
          <w:sz w:val="22"/>
        </w:rPr>
        <w:t>Magazines, reference materials on selection, transcription and subscription</w:t>
      </w:r>
    </w:p>
    <w:p>
      <w:pPr>
        <w:spacing w:before="0" w:after="0"/>
        <w:ind w:left="120"/>
        <w:jc w:val="both"/>
      </w:pPr>
      <w:r>
        <w:rPr>
          <w:rFonts w:ascii="Times New Roman" w:hAnsi="Times New Roman"/>
          <w:b w:val="false"/>
          <w:i w:val="false"/>
          <w:color w:val="000000"/>
          <w:sz w:val="22"/>
        </w:rPr>
        <w:t>Mailing lists</w:t>
      </w:r>
    </w:p>
    <w:p>
      <w:pPr>
        <w:spacing w:before="0" w:after="0"/>
        <w:ind w:left="120"/>
        <w:jc w:val="both"/>
      </w:pPr>
      <w:r>
        <w:rPr>
          <w:rFonts w:ascii="Times New Roman" w:hAnsi="Times New Roman"/>
          <w:b w:val="false"/>
          <w:i w:val="false"/>
          <w:color w:val="000000"/>
          <w:sz w:val="22"/>
        </w:rPr>
        <w:t>Marantz, general repair information</w:t>
      </w:r>
    </w:p>
    <w:p>
      <w:pPr>
        <w:spacing w:before="0" w:after="0"/>
        <w:ind w:left="120"/>
        <w:jc w:val="both"/>
      </w:pPr>
      <w:r>
        <w:rPr>
          <w:rFonts w:ascii="Times New Roman" w:hAnsi="Times New Roman"/>
          <w:b w:val="false"/>
          <w:i w:val="false"/>
          <w:color w:val="000000"/>
          <w:sz w:val="22"/>
        </w:rPr>
        <w:t>Modems, general information</w:t>
      </w:r>
    </w:p>
    <w:p>
      <w:pPr>
        <w:spacing w:before="0" w:after="0"/>
        <w:ind w:left="120"/>
        <w:jc w:val="both"/>
      </w:pPr>
      <w:r>
        <w:rPr>
          <w:rFonts w:ascii="Times New Roman" w:hAnsi="Times New Roman"/>
          <w:b w:val="false"/>
          <w:i w:val="false"/>
          <w:color w:val="000000"/>
          <w:sz w:val="22"/>
        </w:rPr>
        <w:t>Monthly reports on nonusers of library service</w:t>
      </w:r>
    </w:p>
    <w:p>
      <w:pPr>
        <w:spacing w:before="0" w:after="0"/>
        <w:ind w:left="120"/>
        <w:jc w:val="both"/>
      </w:pPr>
      <w:r>
        <w:rPr>
          <w:rFonts w:ascii="Times New Roman" w:hAnsi="Times New Roman"/>
          <w:b w:val="false"/>
          <w:i w:val="false"/>
          <w:color w:val="000000"/>
          <w:sz w:val="22"/>
        </w:rPr>
        <w:t>National braille association bulletins</w:t>
      </w:r>
    </w:p>
    <w:p>
      <w:pPr>
        <w:spacing w:before="0" w:after="0"/>
        <w:ind w:left="120"/>
        <w:jc w:val="both"/>
      </w:pPr>
      <w:r>
        <w:rPr>
          <w:rFonts w:ascii="Times New Roman" w:hAnsi="Times New Roman"/>
          <w:b w:val="false"/>
          <w:i w:val="false"/>
          <w:color w:val="000000"/>
          <w:sz w:val="22"/>
        </w:rPr>
        <w:t>NLS availability listings</w:t>
      </w:r>
    </w:p>
    <w:p>
      <w:pPr>
        <w:spacing w:before="0" w:after="0"/>
        <w:ind w:left="120"/>
        <w:jc w:val="both"/>
      </w:pPr>
      <w:r>
        <w:rPr>
          <w:rFonts w:ascii="Times New Roman" w:hAnsi="Times New Roman"/>
          <w:b w:val="false"/>
          <w:i w:val="false"/>
          <w:color w:val="000000"/>
          <w:sz w:val="22"/>
        </w:rPr>
        <w:t>NLS automation reports</w:t>
      </w:r>
    </w:p>
    <w:p>
      <w:pPr>
        <w:spacing w:before="0" w:after="0"/>
        <w:ind w:left="120"/>
        <w:jc w:val="both"/>
      </w:pPr>
      <w:r>
        <w:rPr>
          <w:rFonts w:ascii="Times New Roman" w:hAnsi="Times New Roman"/>
          <w:b w:val="false"/>
          <w:i w:val="false"/>
          <w:color w:val="000000"/>
          <w:sz w:val="22"/>
        </w:rPr>
        <w:t>NLS, general correspondence and information</w:t>
      </w:r>
    </w:p>
    <w:p>
      <w:pPr>
        <w:spacing w:before="0" w:after="0"/>
        <w:ind w:left="120"/>
        <w:jc w:val="both"/>
      </w:pPr>
      <w:r>
        <w:rPr>
          <w:rFonts w:ascii="Times New Roman" w:hAnsi="Times New Roman"/>
          <w:b w:val="false"/>
          <w:i w:val="false"/>
          <w:color w:val="000000"/>
          <w:sz w:val="22"/>
        </w:rPr>
        <w:t>NLS removal authorization documentation</w:t>
      </w:r>
    </w:p>
    <w:p>
      <w:pPr>
        <w:spacing w:before="0" w:after="0"/>
        <w:ind w:left="120"/>
        <w:jc w:val="both"/>
      </w:pPr>
      <w:r>
        <w:rPr>
          <w:rFonts w:ascii="Times New Roman" w:hAnsi="Times New Roman"/>
          <w:b w:val="false"/>
          <w:i w:val="false"/>
          <w:color w:val="000000"/>
          <w:sz w:val="22"/>
        </w:rPr>
        <w:t>Nonborrower purchase orders</w:t>
      </w:r>
    </w:p>
    <w:p>
      <w:pPr>
        <w:spacing w:before="0" w:after="0"/>
        <w:ind w:left="120"/>
        <w:jc w:val="both"/>
      </w:pPr>
      <w:r>
        <w:rPr>
          <w:rFonts w:ascii="Times New Roman" w:hAnsi="Times New Roman"/>
          <w:b w:val="false"/>
          <w:i w:val="false"/>
          <w:color w:val="000000"/>
          <w:sz w:val="22"/>
        </w:rPr>
        <w:t>OCR scanners, general information</w:t>
      </w:r>
    </w:p>
    <w:p>
      <w:pPr>
        <w:spacing w:before="0" w:after="0"/>
        <w:ind w:left="120"/>
        <w:jc w:val="both"/>
      </w:pPr>
      <w:r>
        <w:rPr>
          <w:rFonts w:ascii="Times New Roman" w:hAnsi="Times New Roman"/>
          <w:b w:val="false"/>
          <w:i w:val="false"/>
          <w:color w:val="000000"/>
          <w:sz w:val="22"/>
        </w:rPr>
        <w:t>Postal service, general information</w:t>
      </w:r>
    </w:p>
    <w:p>
      <w:pPr>
        <w:spacing w:before="0" w:after="0"/>
        <w:ind w:left="120"/>
        <w:jc w:val="both"/>
      </w:pPr>
      <w:r>
        <w:rPr>
          <w:rFonts w:ascii="Times New Roman" w:hAnsi="Times New Roman"/>
          <w:b w:val="false"/>
          <w:i w:val="false"/>
          <w:color w:val="000000"/>
          <w:sz w:val="22"/>
        </w:rPr>
        <w:t>Publication catalogs</w:t>
      </w:r>
    </w:p>
    <w:p>
      <w:pPr>
        <w:spacing w:before="0" w:after="0"/>
        <w:ind w:left="120"/>
        <w:jc w:val="both"/>
      </w:pPr>
      <w:r>
        <w:rPr>
          <w:rFonts w:ascii="Times New Roman" w:hAnsi="Times New Roman"/>
          <w:b w:val="false"/>
          <w:i w:val="false"/>
          <w:color w:val="000000"/>
          <w:sz w:val="22"/>
        </w:rPr>
        <w:t>Publishers, listing</w:t>
      </w:r>
    </w:p>
    <w:p>
      <w:pPr>
        <w:spacing w:before="0" w:after="0"/>
        <w:ind w:left="120"/>
        <w:jc w:val="both"/>
      </w:pPr>
      <w:r>
        <w:rPr>
          <w:rFonts w:ascii="Times New Roman" w:hAnsi="Times New Roman"/>
          <w:b w:val="false"/>
          <w:i w:val="false"/>
          <w:color w:val="000000"/>
          <w:sz w:val="22"/>
        </w:rPr>
        <w:t>Radio reading for the blind, production information</w:t>
      </w:r>
    </w:p>
    <w:p>
      <w:pPr>
        <w:spacing w:before="0" w:after="0"/>
        <w:ind w:left="120"/>
        <w:jc w:val="both"/>
      </w:pPr>
      <w:r>
        <w:rPr>
          <w:rFonts w:ascii="Times New Roman" w:hAnsi="Times New Roman"/>
          <w:b w:val="false"/>
          <w:i w:val="false"/>
          <w:color w:val="000000"/>
          <w:sz w:val="22"/>
        </w:rPr>
        <w:t>Reader enrollment and delivery systems (READS), general information</w:t>
      </w:r>
    </w:p>
    <w:p>
      <w:pPr>
        <w:spacing w:before="0" w:after="0"/>
        <w:ind w:left="120"/>
        <w:jc w:val="both"/>
      </w:pPr>
      <w:r>
        <w:rPr>
          <w:rFonts w:ascii="Times New Roman" w:hAnsi="Times New Roman"/>
          <w:b w:val="false"/>
          <w:i w:val="false"/>
          <w:color w:val="000000"/>
          <w:sz w:val="22"/>
        </w:rPr>
        <w:t>Records management listing of library records</w:t>
      </w:r>
    </w:p>
    <w:p>
      <w:pPr>
        <w:spacing w:before="0" w:after="0"/>
        <w:ind w:left="120"/>
        <w:jc w:val="both"/>
      </w:pPr>
      <w:r>
        <w:rPr>
          <w:rFonts w:ascii="Times New Roman" w:hAnsi="Times New Roman"/>
          <w:b w:val="false"/>
          <w:i w:val="false"/>
          <w:color w:val="000000"/>
          <w:sz w:val="22"/>
        </w:rPr>
        <w:t>Request for proposal for local area network</w:t>
      </w:r>
    </w:p>
    <w:p>
      <w:pPr>
        <w:spacing w:before="0" w:after="0"/>
        <w:ind w:left="120"/>
        <w:jc w:val="both"/>
      </w:pPr>
      <w:r>
        <w:rPr>
          <w:rFonts w:ascii="Times New Roman" w:hAnsi="Times New Roman"/>
          <w:b w:val="false"/>
          <w:i w:val="false"/>
          <w:color w:val="000000"/>
          <w:sz w:val="22"/>
        </w:rPr>
        <w:t>Salvaging rigid talking book discs, instruction manual</w:t>
      </w:r>
    </w:p>
    <w:p>
      <w:pPr>
        <w:spacing w:before="0" w:after="0"/>
        <w:ind w:left="120"/>
        <w:jc w:val="both"/>
      </w:pPr>
      <w:r>
        <w:rPr>
          <w:rFonts w:ascii="Times New Roman" w:hAnsi="Times New Roman"/>
          <w:b w:val="false"/>
          <w:i w:val="false"/>
          <w:color w:val="000000"/>
          <w:sz w:val="22"/>
        </w:rPr>
        <w:t>Shelving, general information</w:t>
      </w:r>
    </w:p>
    <w:p>
      <w:pPr>
        <w:spacing w:before="0" w:after="0"/>
        <w:ind w:left="120"/>
        <w:jc w:val="both"/>
      </w:pPr>
      <w:r>
        <w:rPr>
          <w:rFonts w:ascii="Times New Roman" w:hAnsi="Times New Roman"/>
          <w:b w:val="false"/>
          <w:i w:val="false"/>
          <w:color w:val="000000"/>
          <w:sz w:val="22"/>
        </w:rPr>
        <w:t>Snowbirds, general information</w:t>
      </w:r>
    </w:p>
    <w:p>
      <w:pPr>
        <w:spacing w:before="0" w:after="0"/>
        <w:ind w:left="120"/>
        <w:jc w:val="both"/>
      </w:pPr>
      <w:r>
        <w:rPr>
          <w:rFonts w:ascii="Times New Roman" w:hAnsi="Times New Roman"/>
          <w:b w:val="false"/>
          <w:i w:val="false"/>
          <w:color w:val="000000"/>
          <w:sz w:val="22"/>
        </w:rPr>
        <w:t>Space utilization report</w:t>
      </w:r>
    </w:p>
    <w:p>
      <w:pPr>
        <w:spacing w:before="0" w:after="0"/>
        <w:ind w:left="120"/>
        <w:jc w:val="both"/>
      </w:pPr>
      <w:r>
        <w:rPr>
          <w:rFonts w:ascii="Times New Roman" w:hAnsi="Times New Roman"/>
          <w:b w:val="false"/>
          <w:i w:val="false"/>
          <w:color w:val="000000"/>
          <w:sz w:val="22"/>
        </w:rPr>
        <w:t>Speech/braille computer output, general information</w:t>
      </w:r>
    </w:p>
    <w:p>
      <w:pPr>
        <w:spacing w:before="0" w:after="0"/>
        <w:ind w:left="120"/>
        <w:jc w:val="both"/>
      </w:pPr>
      <w:r>
        <w:rPr>
          <w:rFonts w:ascii="Times New Roman" w:hAnsi="Times New Roman"/>
          <w:b w:val="false"/>
          <w:i w:val="false"/>
          <w:color w:val="000000"/>
          <w:sz w:val="22"/>
        </w:rPr>
        <w:t>Titles received, book listing</w:t>
      </w:r>
    </w:p>
    <w:p>
      <w:pPr>
        <w:spacing w:before="0" w:after="0"/>
        <w:ind w:left="120"/>
        <w:jc w:val="both"/>
      </w:pPr>
      <w:r>
        <w:rPr>
          <w:rFonts w:ascii="Times New Roman" w:hAnsi="Times New Roman"/>
          <w:b w:val="false"/>
          <w:i w:val="false"/>
          <w:color w:val="000000"/>
          <w:sz w:val="22"/>
        </w:rPr>
        <w:t>Training grant, general information</w:t>
      </w:r>
    </w:p>
    <w:p>
      <w:pPr>
        <w:spacing w:before="0" w:after="0"/>
        <w:ind w:left="120"/>
        <w:jc w:val="both"/>
      </w:pPr>
      <w:r>
        <w:rPr>
          <w:rFonts w:ascii="Times New Roman" w:hAnsi="Times New Roman"/>
          <w:b w:val="false"/>
          <w:i w:val="false"/>
          <w:color w:val="000000"/>
          <w:sz w:val="22"/>
        </w:rPr>
        <w:t>Transcriber’s workshop, documentation and information</w:t>
      </w:r>
    </w:p>
    <w:p>
      <w:pPr>
        <w:spacing w:before="0" w:after="0"/>
        <w:ind w:left="120"/>
        <w:jc w:val="both"/>
      </w:pPr>
      <w:r>
        <w:rPr>
          <w:rFonts w:ascii="Times New Roman" w:hAnsi="Times New Roman"/>
          <w:b w:val="false"/>
          <w:i w:val="false"/>
          <w:color w:val="000000"/>
          <w:sz w:val="22"/>
        </w:rPr>
        <w:t>Vendor listing</w:t>
      </w:r>
    </w:p>
    <w:p>
      <w:pPr>
        <w:spacing w:before="0" w:after="0"/>
        <w:ind w:left="120"/>
        <w:jc w:val="both"/>
      </w:pPr>
      <w:r>
        <w:rPr>
          <w:rFonts w:ascii="Times New Roman" w:hAnsi="Times New Roman"/>
          <w:b w:val="false"/>
          <w:i w:val="false"/>
          <w:color w:val="000000"/>
          <w:sz w:val="22"/>
        </w:rPr>
        <w:t>World book encyclopedia, informational material</w:t>
      </w:r>
    </w:p>
    <w:p>
      <w:pPr>
        <w:spacing w:before="0" w:after="0"/>
        <w:ind w:left="120"/>
        <w:jc w:val="both"/>
      </w:pPr>
      <w:r>
        <w:rPr>
          <w:rFonts w:ascii="Times New Roman" w:hAnsi="Times New Roman"/>
          <w:b w:val="false"/>
          <w:i w:val="false"/>
          <w:color w:val="000000"/>
          <w:sz w:val="22"/>
        </w:rPr>
        <w:t>XESS, listing of books removed from the collection</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In addition to the above records, a complete inventory of all materials available for circulation is maintained in the library’s card catalog.</w:t>
      </w:r>
    </w:p>
    <w:p>
      <w:pPr>
        <w:spacing w:before="0" w:after="0"/>
        <w:ind w:left="120"/>
        <w:jc w:val="both"/>
      </w:pPr>
      <w:r>
        <w:rPr>
          <w:rFonts w:ascii="Times New Roman" w:hAnsi="Times New Roman"/>
          <w:b w:val="false"/>
          <w:i w:val="false"/>
          <w:color w:val="000000"/>
          <w:sz w:val="22"/>
        </w:rPr>
        <w:t>VOCATIONAL REHABILITATION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Available readers and drivers listing</w:t>
      </w:r>
    </w:p>
    <w:p>
      <w:pPr>
        <w:spacing w:before="0" w:after="0"/>
        <w:ind w:left="120"/>
        <w:jc w:val="both"/>
      </w:pPr>
      <w:r>
        <w:rPr>
          <w:rFonts w:ascii="Times New Roman" w:hAnsi="Times New Roman"/>
          <w:b w:val="false"/>
          <w:i w:val="false"/>
          <w:color w:val="000000"/>
          <w:sz w:val="22"/>
        </w:rPr>
        <w:t>Dept. of personnel, certified disabilities program</w:t>
      </w:r>
    </w:p>
    <w:p>
      <w:pPr>
        <w:spacing w:before="0" w:after="0"/>
        <w:ind w:left="120"/>
        <w:jc w:val="both"/>
      </w:pPr>
      <w:r>
        <w:rPr>
          <w:rFonts w:ascii="Times New Roman" w:hAnsi="Times New Roman"/>
          <w:b w:val="false"/>
          <w:i w:val="false"/>
          <w:color w:val="000000"/>
          <w:sz w:val="22"/>
        </w:rPr>
        <w:t>Commissioner policies on service provision</w:t>
      </w:r>
    </w:p>
    <w:p>
      <w:pPr>
        <w:spacing w:before="0" w:after="0"/>
        <w:ind w:left="120"/>
        <w:jc w:val="both"/>
      </w:pPr>
      <w:r>
        <w:rPr>
          <w:rFonts w:ascii="Times New Roman" w:hAnsi="Times New Roman"/>
          <w:b w:val="false"/>
          <w:i w:val="false"/>
          <w:color w:val="000000"/>
          <w:sz w:val="22"/>
        </w:rPr>
        <w:t>Computer technology reference materials</w:t>
      </w:r>
    </w:p>
    <w:p>
      <w:pPr>
        <w:spacing w:before="0" w:after="0"/>
        <w:ind w:left="120"/>
        <w:jc w:val="both"/>
      </w:pPr>
      <w:r>
        <w:rPr>
          <w:rFonts w:ascii="Times New Roman" w:hAnsi="Times New Roman"/>
          <w:b w:val="false"/>
          <w:i w:val="false"/>
          <w:color w:val="000000"/>
          <w:sz w:val="22"/>
        </w:rPr>
        <w:t>Counselor instructional manual</w:t>
      </w:r>
    </w:p>
    <w:p>
      <w:pPr>
        <w:spacing w:before="0" w:after="0"/>
        <w:ind w:left="120"/>
        <w:jc w:val="both"/>
      </w:pPr>
      <w:r>
        <w:rPr>
          <w:rFonts w:ascii="Times New Roman" w:hAnsi="Times New Roman"/>
          <w:b w:val="false"/>
          <w:i w:val="false"/>
          <w:color w:val="000000"/>
          <w:sz w:val="22"/>
        </w:rPr>
        <w:t>Field operations statistical reports</w:t>
      </w:r>
    </w:p>
    <w:p>
      <w:pPr>
        <w:spacing w:before="0" w:after="0"/>
        <w:ind w:left="120"/>
        <w:jc w:val="both"/>
      </w:pPr>
      <w:r>
        <w:rPr>
          <w:rFonts w:ascii="Times New Roman" w:hAnsi="Times New Roman"/>
          <w:b w:val="false"/>
          <w:i w:val="false"/>
          <w:color w:val="000000"/>
          <w:sz w:val="22"/>
        </w:rPr>
        <w:t>504 subcommittee meeting records</w:t>
      </w:r>
    </w:p>
    <w:p>
      <w:pPr>
        <w:spacing w:before="0" w:after="0"/>
        <w:ind w:left="120"/>
        <w:jc w:val="both"/>
      </w:pPr>
      <w:r>
        <w:rPr>
          <w:rFonts w:ascii="Times New Roman" w:hAnsi="Times New Roman"/>
          <w:b w:val="false"/>
          <w:i w:val="false"/>
          <w:color w:val="000000"/>
          <w:sz w:val="22"/>
        </w:rPr>
        <w:t>General resource materials on employment and vocational rehabilitation</w:t>
      </w:r>
    </w:p>
    <w:p>
      <w:pPr>
        <w:spacing w:before="0" w:after="0"/>
        <w:ind w:left="120"/>
        <w:jc w:val="both"/>
      </w:pPr>
      <w:r>
        <w:rPr>
          <w:rFonts w:ascii="Times New Roman" w:hAnsi="Times New Roman"/>
          <w:b w:val="false"/>
          <w:i w:val="false"/>
          <w:color w:val="000000"/>
          <w:sz w:val="22"/>
        </w:rPr>
        <w:t>Health resources and information</w:t>
      </w:r>
    </w:p>
    <w:p>
      <w:pPr>
        <w:spacing w:before="0" w:after="0"/>
        <w:ind w:left="120"/>
        <w:jc w:val="both"/>
      </w:pPr>
      <w:r>
        <w:rPr>
          <w:rFonts w:ascii="Times New Roman" w:hAnsi="Times New Roman"/>
          <w:b w:val="false"/>
          <w:i w:val="false"/>
          <w:color w:val="000000"/>
          <w:sz w:val="22"/>
        </w:rPr>
        <w:t>Information on U.S. civil service and personnel management</w:t>
      </w:r>
    </w:p>
    <w:p>
      <w:pPr>
        <w:spacing w:before="0" w:after="0"/>
        <w:ind w:left="120"/>
        <w:jc w:val="both"/>
      </w:pPr>
      <w:r>
        <w:rPr>
          <w:rFonts w:ascii="Times New Roman" w:hAnsi="Times New Roman"/>
          <w:b w:val="false"/>
          <w:i w:val="false"/>
          <w:color w:val="000000"/>
          <w:sz w:val="22"/>
        </w:rPr>
        <w:t>In-service training agendas</w:t>
      </w:r>
    </w:p>
    <w:p>
      <w:pPr>
        <w:spacing w:before="0" w:after="0"/>
        <w:ind w:left="120"/>
        <w:jc w:val="both"/>
      </w:pPr>
      <w:r>
        <w:rPr>
          <w:rFonts w:ascii="Times New Roman" w:hAnsi="Times New Roman"/>
          <w:b w:val="false"/>
          <w:i w:val="false"/>
          <w:color w:val="000000"/>
          <w:sz w:val="22"/>
        </w:rPr>
        <w:t>In-service training grant</w:t>
      </w:r>
    </w:p>
    <w:p>
      <w:pPr>
        <w:spacing w:before="0" w:after="0"/>
        <w:ind w:left="120"/>
        <w:jc w:val="both"/>
      </w:pPr>
      <w:r>
        <w:rPr>
          <w:rFonts w:ascii="Times New Roman" w:hAnsi="Times New Roman"/>
          <w:b w:val="false"/>
          <w:i w:val="false"/>
          <w:color w:val="000000"/>
          <w:sz w:val="22"/>
        </w:rPr>
        <w:t>Job openings posting book</w:t>
      </w:r>
    </w:p>
    <w:p>
      <w:pPr>
        <w:spacing w:before="0" w:after="0"/>
        <w:ind w:left="120"/>
        <w:jc w:val="both"/>
      </w:pPr>
      <w:r>
        <w:rPr>
          <w:rFonts w:ascii="Times New Roman" w:hAnsi="Times New Roman"/>
          <w:b w:val="false"/>
          <w:i w:val="false"/>
          <w:color w:val="000000"/>
          <w:sz w:val="22"/>
        </w:rPr>
        <w:t>Medical reference pamphlets and brochures</w:t>
      </w:r>
    </w:p>
    <w:p>
      <w:pPr>
        <w:spacing w:before="0" w:after="0"/>
        <w:ind w:left="120"/>
        <w:jc w:val="both"/>
      </w:pPr>
      <w:r>
        <w:rPr>
          <w:rFonts w:ascii="Times New Roman" w:hAnsi="Times New Roman"/>
          <w:b w:val="false"/>
          <w:i w:val="false"/>
          <w:color w:val="000000"/>
          <w:sz w:val="22"/>
        </w:rPr>
        <w:t>Paratransit advisory committee reference materials</w:t>
      </w:r>
    </w:p>
    <w:p>
      <w:pPr>
        <w:spacing w:before="0" w:after="0"/>
        <w:ind w:left="120"/>
        <w:jc w:val="both"/>
      </w:pPr>
      <w:r>
        <w:rPr>
          <w:rFonts w:ascii="Times New Roman" w:hAnsi="Times New Roman"/>
          <w:b w:val="false"/>
          <w:i w:val="false"/>
          <w:color w:val="000000"/>
          <w:sz w:val="22"/>
        </w:rPr>
        <w:t>Photographs</w:t>
      </w:r>
    </w:p>
    <w:p>
      <w:pPr>
        <w:spacing w:before="0" w:after="0"/>
        <w:ind w:left="120"/>
        <w:jc w:val="both"/>
      </w:pPr>
      <w:r>
        <w:rPr>
          <w:rFonts w:ascii="Times New Roman" w:hAnsi="Times New Roman"/>
          <w:b w:val="false"/>
          <w:i w:val="false"/>
          <w:color w:val="000000"/>
          <w:sz w:val="22"/>
        </w:rPr>
        <w:t>RCEP training advisory committee reference listing</w:t>
      </w:r>
    </w:p>
    <w:p>
      <w:pPr>
        <w:spacing w:before="0" w:after="0"/>
        <w:ind w:left="120"/>
        <w:jc w:val="both"/>
      </w:pPr>
      <w:r>
        <w:rPr>
          <w:rFonts w:ascii="Times New Roman" w:hAnsi="Times New Roman"/>
          <w:b w:val="false"/>
          <w:i w:val="false"/>
          <w:color w:val="000000"/>
          <w:sz w:val="22"/>
        </w:rPr>
        <w:t>Reference materials on Targeted jobs tax credit, Job training partnership Act and PWI programs</w:t>
      </w:r>
    </w:p>
    <w:p>
      <w:pPr>
        <w:spacing w:before="0" w:after="0"/>
        <w:ind w:left="120"/>
        <w:jc w:val="both"/>
      </w:pPr>
      <w:r>
        <w:rPr>
          <w:rFonts w:ascii="Times New Roman" w:hAnsi="Times New Roman"/>
          <w:b w:val="false"/>
          <w:i w:val="false"/>
          <w:color w:val="000000"/>
          <w:sz w:val="22"/>
        </w:rPr>
        <w:t>Rehabilitation Act of 1973</w:t>
      </w:r>
    </w:p>
    <w:p>
      <w:pPr>
        <w:spacing w:before="0" w:after="0"/>
        <w:ind w:left="120"/>
        <w:jc w:val="both"/>
      </w:pPr>
      <w:r>
        <w:rPr>
          <w:rFonts w:ascii="Times New Roman" w:hAnsi="Times New Roman"/>
          <w:b w:val="false"/>
          <w:i w:val="false"/>
          <w:color w:val="000000"/>
          <w:sz w:val="22"/>
        </w:rPr>
        <w:t>Rehabilitation services administration annual report on postemployment services and annual reviews</w:t>
      </w:r>
    </w:p>
    <w:p>
      <w:pPr>
        <w:spacing w:before="0" w:after="0"/>
        <w:ind w:left="120"/>
        <w:jc w:val="both"/>
      </w:pPr>
      <w:r>
        <w:rPr>
          <w:rFonts w:ascii="Times New Roman" w:hAnsi="Times New Roman"/>
          <w:b w:val="false"/>
          <w:i w:val="false"/>
          <w:color w:val="000000"/>
          <w:sz w:val="22"/>
        </w:rPr>
        <w:t>Rehabilitation services administration federal regulations</w:t>
      </w:r>
    </w:p>
    <w:p>
      <w:pPr>
        <w:spacing w:before="0" w:after="0"/>
        <w:ind w:left="120"/>
        <w:jc w:val="both"/>
      </w:pPr>
      <w:r>
        <w:rPr>
          <w:rFonts w:ascii="Times New Roman" w:hAnsi="Times New Roman"/>
          <w:b w:val="false"/>
          <w:i w:val="false"/>
          <w:color w:val="000000"/>
          <w:sz w:val="22"/>
        </w:rPr>
        <w:t>Rehabilitation services administration monthly cumulative caseload report</w:t>
      </w:r>
    </w:p>
    <w:p>
      <w:pPr>
        <w:spacing w:before="0" w:after="0"/>
        <w:ind w:left="120"/>
        <w:jc w:val="both"/>
      </w:pPr>
      <w:r>
        <w:rPr>
          <w:rFonts w:ascii="Times New Roman" w:hAnsi="Times New Roman"/>
          <w:b w:val="false"/>
          <w:i w:val="false"/>
          <w:color w:val="000000"/>
          <w:sz w:val="22"/>
        </w:rPr>
        <w:t>Rehabilitation services administration quarterly cumulative caseload report</w:t>
      </w:r>
    </w:p>
    <w:p>
      <w:pPr>
        <w:spacing w:before="0" w:after="0"/>
        <w:ind w:left="120"/>
        <w:jc w:val="both"/>
      </w:pPr>
      <w:r>
        <w:rPr>
          <w:rFonts w:ascii="Times New Roman" w:hAnsi="Times New Roman"/>
          <w:b w:val="false"/>
          <w:i w:val="false"/>
          <w:color w:val="000000"/>
          <w:sz w:val="22"/>
        </w:rPr>
        <w:t>Rehabilitation services administration program and cost report</w:t>
      </w:r>
    </w:p>
    <w:p>
      <w:pPr>
        <w:spacing w:before="0" w:after="0"/>
        <w:ind w:left="120"/>
        <w:jc w:val="both"/>
      </w:pPr>
      <w:r>
        <w:rPr>
          <w:rFonts w:ascii="Times New Roman" w:hAnsi="Times New Roman"/>
          <w:b w:val="false"/>
          <w:i w:val="false"/>
          <w:color w:val="000000"/>
          <w:sz w:val="22"/>
        </w:rPr>
        <w:t>Social security disability and SSI reference materials</w:t>
      </w:r>
    </w:p>
    <w:p>
      <w:pPr>
        <w:spacing w:before="0" w:after="0"/>
        <w:ind w:left="120"/>
        <w:jc w:val="both"/>
      </w:pPr>
      <w:r>
        <w:rPr>
          <w:rFonts w:ascii="Times New Roman" w:hAnsi="Times New Roman"/>
          <w:b w:val="false"/>
          <w:i w:val="false"/>
          <w:color w:val="000000"/>
          <w:sz w:val="22"/>
        </w:rPr>
        <w:t>Speeches by Kenneth Jernigan and Jacob tenBroek</w:t>
      </w:r>
    </w:p>
    <w:p>
      <w:pPr>
        <w:spacing w:before="0" w:after="0"/>
        <w:ind w:left="120"/>
        <w:jc w:val="both"/>
      </w:pPr>
      <w:r>
        <w:rPr>
          <w:rFonts w:ascii="Times New Roman" w:hAnsi="Times New Roman"/>
          <w:b w:val="false"/>
          <w:i w:val="false"/>
          <w:color w:val="000000"/>
          <w:sz w:val="22"/>
        </w:rPr>
        <w:t>SSA administrative procedure letters</w:t>
      </w:r>
    </w:p>
    <w:p>
      <w:pPr>
        <w:spacing w:before="0" w:after="0"/>
        <w:ind w:left="120"/>
        <w:jc w:val="both"/>
      </w:pPr>
      <w:r>
        <w:rPr>
          <w:rFonts w:ascii="Times New Roman" w:hAnsi="Times New Roman"/>
          <w:b w:val="false"/>
          <w:i w:val="false"/>
          <w:color w:val="000000"/>
          <w:sz w:val="22"/>
        </w:rPr>
        <w:t>SSA program instructions and resource materials</w:t>
      </w:r>
    </w:p>
    <w:p>
      <w:pPr>
        <w:spacing w:before="0" w:after="0"/>
        <w:ind w:left="120"/>
        <w:jc w:val="both"/>
      </w:pPr>
      <w:r>
        <w:rPr>
          <w:rFonts w:ascii="Times New Roman" w:hAnsi="Times New Roman"/>
          <w:b w:val="false"/>
          <w:i w:val="false"/>
          <w:color w:val="000000"/>
          <w:sz w:val="22"/>
        </w:rPr>
        <w:t>Staff procedure memos</w:t>
      </w:r>
    </w:p>
    <w:p>
      <w:pPr>
        <w:spacing w:before="0" w:after="0"/>
        <w:ind w:left="120"/>
        <w:jc w:val="both"/>
      </w:pPr>
      <w:r>
        <w:rPr>
          <w:rFonts w:ascii="Times New Roman" w:hAnsi="Times New Roman"/>
          <w:b w:val="false"/>
          <w:i w:val="false"/>
          <w:color w:val="000000"/>
          <w:sz w:val="22"/>
        </w:rPr>
        <w:t>Staff territory assignments</w:t>
      </w:r>
    </w:p>
    <w:p>
      <w:pPr>
        <w:spacing w:before="0" w:after="0"/>
        <w:ind w:left="120"/>
        <w:jc w:val="both"/>
      </w:pPr>
      <w:r>
        <w:rPr>
          <w:rFonts w:ascii="Times New Roman" w:hAnsi="Times New Roman"/>
          <w:b w:val="false"/>
          <w:i w:val="false"/>
          <w:color w:val="000000"/>
          <w:sz w:val="22"/>
        </w:rPr>
        <w:t>State facilities plan</w:t>
      </w:r>
    </w:p>
    <w:p>
      <w:pPr>
        <w:spacing w:before="0" w:after="0"/>
        <w:ind w:left="120"/>
        <w:jc w:val="both"/>
      </w:pPr>
      <w:r>
        <w:rPr>
          <w:rFonts w:ascii="Times New Roman" w:hAnsi="Times New Roman"/>
          <w:b w:val="false"/>
          <w:i w:val="false"/>
          <w:color w:val="000000"/>
          <w:sz w:val="22"/>
        </w:rPr>
        <w:t>State plan for vocational rehabilitation services</w:t>
      </w:r>
    </w:p>
    <w:p>
      <w:pPr>
        <w:spacing w:before="0" w:after="0"/>
        <w:ind w:left="120"/>
        <w:jc w:val="both"/>
      </w:pPr>
      <w:r>
        <w:rPr>
          <w:rFonts w:ascii="Times New Roman" w:hAnsi="Times New Roman"/>
          <w:b w:val="false"/>
          <w:i w:val="false"/>
          <w:color w:val="000000"/>
          <w:sz w:val="22"/>
        </w:rPr>
        <w:t>Supported employment reference materials</w:t>
      </w:r>
    </w:p>
    <w:p>
      <w:pPr>
        <w:spacing w:before="0" w:after="0"/>
        <w:ind w:left="120"/>
        <w:jc w:val="both"/>
      </w:pPr>
      <w:r>
        <w:rPr>
          <w:rFonts w:ascii="Times New Roman" w:hAnsi="Times New Roman"/>
          <w:b w:val="false"/>
          <w:i w:val="false"/>
          <w:color w:val="000000"/>
          <w:sz w:val="22"/>
        </w:rPr>
        <w:t>Telephone directories for DVRS and AEA personnel</w:t>
      </w:r>
    </w:p>
    <w:p>
      <w:pPr>
        <w:spacing w:before="0" w:after="0"/>
        <w:ind w:left="120"/>
        <w:jc w:val="both"/>
      </w:pPr>
      <w:r>
        <w:rPr>
          <w:rFonts w:ascii="Times New Roman" w:hAnsi="Times New Roman"/>
          <w:b w:val="false"/>
          <w:i w:val="false"/>
          <w:color w:val="000000"/>
          <w:sz w:val="22"/>
        </w:rPr>
        <w:t>Transition committee minutes and reference materials</w:t>
      </w:r>
    </w:p>
    <w:p>
      <w:pPr>
        <w:spacing w:before="0" w:after="0"/>
        <w:ind w:left="120"/>
        <w:jc w:val="both"/>
      </w:pPr>
      <w:r>
        <w:rPr>
          <w:rFonts w:ascii="Times New Roman" w:hAnsi="Times New Roman"/>
          <w:b w:val="false"/>
          <w:i w:val="false"/>
          <w:color w:val="000000"/>
          <w:sz w:val="22"/>
        </w:rPr>
        <w:t>Veterans administration resource materials</w:t>
      </w:r>
    </w:p>
    <w:p>
      <w:pPr>
        <w:spacing w:before="0" w:after="0"/>
        <w:ind w:left="120"/>
        <w:jc w:val="both"/>
      </w:pPr>
      <w:r>
        <w:rPr>
          <w:rFonts w:ascii="Times New Roman" w:hAnsi="Times New Roman"/>
          <w:b w:val="false"/>
          <w:i w:val="false"/>
          <w:color w:val="000000"/>
          <w:sz w:val="22"/>
        </w:rPr>
        <w:t>Vocational rehabilitation guidelines and procedures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r>
        <w:br/>
      </w:r>
    </w:p>
    <w:p>
      <w:pPr>
        <w:spacing w:before="0" w:after="0"/>
        <w:ind w:left="120"/>
        <w:jc w:val="both"/>
      </w:pPr>
      <w:r>
        <w:rPr>
          <w:rFonts w:ascii="Times New Roman" w:hAnsi="Times New Roman"/>
          <w:b w:val="false"/>
          <w:i w:val="false"/>
          <w:color w:val="000000"/>
          <w:sz w:val="22"/>
        </w:rPr>
        <w:t>The following record systems, categorized by agency program area, are open to access by the public, but may contain personally identifiable or confidential information:</w:t>
      </w:r>
    </w:p>
    <w:tbl>
      <w:tblPr>
        <w:tblW w:w="5000" w:type="pct"/>
        <w:tblCellSpacing w:w="0" w:type="auto"/>
        <w:tblBorders>
          <w:top w:val="none"/>
          <w:left w:val="none"/>
          <w:bottom w:val="none"/>
          <w:right w:val="none"/>
          <w:insideH w:val="none"/>
          <w:insideV w:val="none"/>
        </w:tblBorders>
        <w:tblLayout w:type="fixed"/>
      </w:tblPr>
      <w:tblGrid>
        <w:gridCol w:w="7515"/>
        <w:gridCol w:w="3675"/>
      </w:tblGrid>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u w:val="single"/>
              </w:rPr>
              <w:t>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u w:val="single"/>
              </w:rPr>
              <w:t>Statutory Authority</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ADMINISTRATION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Accounts payable vouchers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1">
              <w:r>
                <w:rPr>
                  <w:rStyle w:val="Hyperlink"/>
                  <w:rFonts w:ascii="Times New Roman" w:hAnsi="Times New Roman"/>
                  <w:b w:val="false"/>
                  <w:i w:val="false"/>
                  <w:color w:val="000000"/>
                  <w:sz w:val="21"/>
                </w:rPr>
                <w:t>259.1</w:t>
              </w:r>
            </w:hyperlink>
          </w:p>
        </w:tc>
      </w:tr>
      <w:tr>
        <w:trPr>
          <w:trHeight w:val="495"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Accounting interagency correspondence and information</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sections </w:t>
            </w:r>
            <w:hyperlink r:id="rId152">
              <w:r>
                <w:rPr>
                  <w:rStyle w:val="Hyperlink"/>
                  <w:rFonts w:ascii="Times New Roman" w:hAnsi="Times New Roman"/>
                  <w:b w:val="false"/>
                  <w:i w:val="false"/>
                  <w:color w:val="000000"/>
                  <w:sz w:val="21"/>
                </w:rPr>
                <w:t>259.1</w:t>
              </w:r>
            </w:hyperlink>
            <w:r>
              <w:rPr>
                <w:rFonts w:ascii="Times New Roman" w:hAnsi="Times New Roman"/>
                <w:b w:val="false"/>
                <w:i w:val="false"/>
                <w:color w:val="000000"/>
                <w:sz w:val="21"/>
              </w:rPr>
              <w:t xml:space="preserve"> and </w:t>
            </w:r>
            <w:hyperlink r:id="rId153">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Applications for education leave and educational assistance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4">
              <w:r>
                <w:rPr>
                  <w:rStyle w:val="Hyperlink"/>
                  <w:rFonts w:ascii="Times New Roman" w:hAnsi="Times New Roman"/>
                  <w:b w:val="false"/>
                  <w:i w:val="false"/>
                  <w:color w:val="000000"/>
                  <w:sz w:val="21"/>
                </w:rPr>
                <w:t>19A.15</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Correspondence, general</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Gifts and bequests trust account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6">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Minutes, supervisors meetings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7">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BUSINESS ENTERPRISE PROGRAM</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Closed vending facilities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8">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Correspondence, general</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59">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Correspondence, vendor</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0">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Licenses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1">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Minutes, state vendor committee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2">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Vending facilities (all locations)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3">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INDEPENDENT LIVING REHABILITATION SERVICES</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Agency contact documentation</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Bistate independent living center</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Client equipment inventory cards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6">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General correspondence, 1981-84</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7">
              <w:r>
                <w:rPr>
                  <w:rStyle w:val="Hyperlink"/>
                  <w:rFonts w:ascii="Times New Roman" w:hAnsi="Times New Roman"/>
                  <w:b w:val="false"/>
                  <w:i w:val="false"/>
                  <w:color w:val="000000"/>
                  <w:sz w:val="21"/>
                </w:rPr>
                <w:t>259.1</w:t>
              </w:r>
            </w:hyperlink>
          </w:p>
        </w:tc>
      </w:tr>
      <w:tr>
        <w:trPr>
          <w:trHeight w:val="495" w:hRule="atLeast"/>
        </w:trPr>
        <w:tc>
          <w:tcPr>
            <w:tcW w:w="751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Helen Keller national center, grant, reports, and</w:t>
            </w:r>
          </w:p>
          <w:p>
            <w:pPr>
              <w:spacing w:before="0" w:after="0"/>
              <w:ind w:left="160"/>
              <w:jc w:val="both"/>
            </w:pPr>
            <w:r>
              <w:rPr>
                <w:rFonts w:ascii="Times New Roman" w:hAnsi="Times New Roman"/>
                <w:b w:val="false"/>
                <w:i w:val="false"/>
                <w:color w:val="000000"/>
                <w:sz w:val="21"/>
              </w:rPr>
              <w:t>correspondence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8">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LIBRARY FOR THE BLIND AND PHYSICALLY HANDICAPPED</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Braillewriter equipment inventory</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69">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Marantz equipment inventory and repair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70">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Proofreader circulation assignments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71">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Tape exchange correspondence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72">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Volunteer braille and tape production records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73">
              <w:r>
                <w:rPr>
                  <w:rStyle w:val="Hyperlink"/>
                  <w:rFonts w:ascii="Times New Roman" w:hAnsi="Times New Roman"/>
                  <w:b w:val="false"/>
                  <w:i w:val="false"/>
                  <w:color w:val="000000"/>
                  <w:sz w:val="21"/>
                </w:rPr>
                <w:t>216B.3</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315"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VOCATIONAL REHABILITATION</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General correspondence</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74">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Intra-office and interoffice memos</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75">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Lions typewriter acquisition list</w:t>
            </w:r>
          </w:p>
        </w:tc>
        <w:tc>
          <w:tcPr>
            <w:tcW w:w="367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1"/>
              </w:rPr>
              <w:t xml:space="preserve">Iowa Code section </w:t>
            </w:r>
            <w:hyperlink r:id="rId176">
              <w:r>
                <w:rPr>
                  <w:rStyle w:val="Hyperlink"/>
                  <w:rFonts w:ascii="Times New Roman" w:hAnsi="Times New Roman"/>
                  <w:b w:val="false"/>
                  <w:i w:val="false"/>
                  <w:color w:val="000000"/>
                  <w:sz w:val="21"/>
                </w:rPr>
                <w:t>259.1</w:t>
              </w:r>
            </w:hyperlink>
          </w:p>
        </w:tc>
      </w:tr>
      <w:tr>
        <w:trPr>
          <w:trHeight w:val="270" w:hRule="atLeast"/>
        </w:trPr>
        <w:tc>
          <w:tcPr>
            <w:tcW w:w="75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6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 indicates information is also stored on a computer database.</w:t>
      </w:r>
    </w:p>
    <w:p>
      <w:pPr>
        <w:spacing w:before="0" w:after="0"/>
        <w:ind w:left="120"/>
        <w:jc w:val="left"/>
      </w:pPr>
      <w:r>
        <w:br/>
      </w:r>
    </w:p>
    <w:p>
      <w:pPr>
        <w:spacing w:before="210" w:after="0"/>
        <w:ind w:left="120"/>
        <w:jc w:val="both"/>
      </w:pPr>
      <w:r>
        <w:rPr>
          <w:rFonts w:ascii="Times New Roman" w:hAnsi="Times New Roman"/>
          <w:b/>
          <w:i w:val="false"/>
          <w:color w:val="000000"/>
          <w:sz w:val="22"/>
        </w:rPr>
        <w:t>111—13.14</w:t>
      </w:r>
      <w:r>
        <w:rPr>
          <w:rFonts w:ascii="Times New Roman" w:hAnsi="Times New Roman"/>
          <w:b/>
          <w:i w:val="false"/>
          <w:color w:val="000000"/>
          <w:sz w:val="22"/>
        </w:rPr>
        <w:t xml:space="preserve">(17A,22) </w:t>
      </w:r>
      <w:r>
        <w:rPr>
          <w:rFonts w:ascii="Times New Roman" w:hAnsi="Times New Roman"/>
          <w:b/>
          <w:i w:val="false"/>
          <w:color w:val="000000"/>
          <w:sz w:val="22"/>
        </w:rPr>
        <w:t xml:space="preserve">Automated data processing capabilities. </w:t>
      </w:r>
      <w:r>
        <w:rPr>
          <w:rFonts w:ascii="Times New Roman" w:hAnsi="Times New Roman"/>
          <w:b w:val="false"/>
          <w:i w:val="false"/>
          <w:color w:val="000000"/>
          <w:sz w:val="22"/>
        </w:rPr>
        <w:t>All records are stored on paper and not in automated data processing systems unless otherwise noted. Data processing systems used by the agency do not permit the comparison of personally identifiable information in one record system with personally identifiable information in another record system, unless specifically noted.</w:t>
      </w:r>
    </w:p>
    <w:p>
      <w:pPr>
        <w:spacing w:before="0" w:after="0"/>
        <w:ind w:left="120"/>
        <w:jc w:val="both"/>
      </w:pPr>
      <w:r>
        <w:rPr>
          <w:rFonts w:ascii="Times New Roman" w:hAnsi="Times New Roman"/>
          <w:b/>
          <w:i w:val="false"/>
          <w:color w:val="000000"/>
          <w:sz w:val="22"/>
        </w:rPr>
        <w:t>111—13.15</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17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records of grantees which administer state-funded programs, nor to individual vendors licensed by the agency pursuant to the federal Randolph-Sheppard Act;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to the public,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agency.</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4/19/88, Notice 2/10/88—published 5/4/88, effective 6/8/88]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2/1/90, Notice 11/15/89—published 2/21/90, effective 3/28/90]</w:t>
      </w:r>
    </w:p>
    <w:p>
      <w:pPr>
        <w:spacing w:before="0" w:after="0"/>
        <w:ind w:left="120"/>
        <w:jc w:val="center"/>
      </w:pPr>
      <w:r>
        <w:rPr>
          <w:rFonts w:ascii="Times New Roman" w:hAnsi="Times New Roman"/>
          <w:b w:val="false"/>
          <w:i w:val="false"/>
          <w:color w:val="000000"/>
          <w:sz w:val="21"/>
        </w:rPr>
        <w:t>[Filed 1/18/91, Notice 11/28/90—published 2/6/91, effective 3/13/91]</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8.pdf" Type="http://schemas.openxmlformats.org/officeDocument/2006/relationships/hyperlink" Id="rId9"/>
    <Relationship TargetMode="External" Target="https://www.legis.iowa.gov/docs/ico/chapter/22.10.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co/chapter/22.10.pdf" Type="http://schemas.openxmlformats.org/officeDocument/2006/relationships/hyperlink" Id="rId12"/>
    <Relationship TargetMode="External" Target="https://www.legis.iowa.gov/docs/iac/rule/111.13.4.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ac/rule/111.13.3.pdf" Type="http://schemas.openxmlformats.org/officeDocument/2006/relationships/hyperlink" Id="rId15"/>
    <Relationship TargetMode="External" Target="https://www.legis.iowa.gov/docs/ico/chapter/22.8.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8.pdf" Type="http://schemas.openxmlformats.org/officeDocument/2006/relationships/hyperlink" Id="rId21"/>
    <Relationship TargetMode="External" Target="https://www.legis.iowa.gov/docs/iac/rule/111.13.10.pdf" Type="http://schemas.openxmlformats.org/officeDocument/2006/relationships/hyperlink" Id="rId22"/>
    <Relationship TargetMode="External" Target="https://www.legis.iowa.gov/docs/ico/chapter/2A.3.pdf" Type="http://schemas.openxmlformats.org/officeDocument/2006/relationships/hyperlink" Id="rId23"/>
    <Relationship TargetMode="External" Target="https://www.legis.iowa.gov/docs/ico/chapter/22.pdf" Type="http://schemas.openxmlformats.org/officeDocument/2006/relationships/hyperlink" Id="rId24"/>
    <Relationship TargetMode="External" Target="https://www.legis.iowa.gov/docs/iac/rule/111.13.7.pdf" Type="http://schemas.openxmlformats.org/officeDocument/2006/relationships/hyperlink" Id="rId25"/>
    <Relationship TargetMode="External" Target="https://www.legis.iowa.gov/docs/iac/rule/111.13.9.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59.1.pdf" Type="http://schemas.openxmlformats.org/officeDocument/2006/relationships/hyperlink" Id="rId29"/>
    <Relationship TargetMode="External" Target="https://www.legis.iowa.gov/docs/ico/chapter/259.1.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19A.15.pdf" Type="http://schemas.openxmlformats.org/officeDocument/2006/relationships/hyperlink" Id="rId33"/>
    <Relationship TargetMode="External" Target="https://www.legis.iowa.gov/docs/ico/chapter/19A.15.pdf" Type="http://schemas.openxmlformats.org/officeDocument/2006/relationships/hyperlink" Id="rId34"/>
    <Relationship TargetMode="External" Target="https://www.legis.iowa.gov/docs/ico/chapter/19A.15.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17A.3.pdf" Type="http://schemas.openxmlformats.org/officeDocument/2006/relationships/hyperlink" Id="rId37"/>
    <Relationship TargetMode="External" Target="https://www.legis.iowa.gov/docs/ico/chapter/19A.15.pdf" Type="http://schemas.openxmlformats.org/officeDocument/2006/relationships/hyperlink" Id="rId38"/>
    <Relationship TargetMode="External" Target="https://www.legis.iowa.gov/docs/ico/chapter/259.1.pdf" Type="http://schemas.openxmlformats.org/officeDocument/2006/relationships/hyperlink" Id="rId39"/>
    <Relationship TargetMode="External" Target="https://www.legis.iowa.gov/docs/ico/chapter/259.1.pdf" Type="http://schemas.openxmlformats.org/officeDocument/2006/relationships/hyperlink" Id="rId40"/>
    <Relationship TargetMode="External" Target="https://www.legis.iowa.gov/docs/ico/chapter/259.1.pdf" Type="http://schemas.openxmlformats.org/officeDocument/2006/relationships/hyperlink" Id="rId41"/>
    <Relationship TargetMode="External" Target="https://www.legis.iowa.gov/docs/ico/chapter/259.1.pdf" Type="http://schemas.openxmlformats.org/officeDocument/2006/relationships/hyperlink" Id="rId42"/>
    <Relationship TargetMode="External" Target="https://www.legis.iowa.gov/docs/ico/chapter/259.1.pdf" Type="http://schemas.openxmlformats.org/officeDocument/2006/relationships/hyperlink" Id="rId43"/>
    <Relationship TargetMode="External" Target="https://www.legis.iowa.gov/docs/ico/chapter/259.1.pdf" Type="http://schemas.openxmlformats.org/officeDocument/2006/relationships/hyperlink" Id="rId44"/>
    <Relationship TargetMode="External" Target="https://www.legis.iowa.gov/docs/ico/chapter/259.1.pdf" Type="http://schemas.openxmlformats.org/officeDocument/2006/relationships/hyperlink" Id="rId45"/>
    <Relationship TargetMode="External" Target="https://www.legis.iowa.gov/docs/ico/chapter/259.1.pdf" Type="http://schemas.openxmlformats.org/officeDocument/2006/relationships/hyperlink" Id="rId46"/>
    <Relationship TargetMode="External" Target="https://www.legis.iowa.gov/docs/ico/chapter/259.1.pdf" Type="http://schemas.openxmlformats.org/officeDocument/2006/relationships/hyperlink" Id="rId47"/>
    <Relationship TargetMode="External" Target="https://www.legis.iowa.gov/docs/ico/chapter/259.1.pdf" Type="http://schemas.openxmlformats.org/officeDocument/2006/relationships/hyperlink" Id="rId48"/>
    <Relationship TargetMode="External" Target="https://www.legis.iowa.gov/docs/ico/chapter/259.1.pdf" Type="http://schemas.openxmlformats.org/officeDocument/2006/relationships/hyperlink" Id="rId49"/>
    <Relationship TargetMode="External" Target="https://www.legis.iowa.gov/docs/ico/chapter/259.1.pdf" Type="http://schemas.openxmlformats.org/officeDocument/2006/relationships/hyperlink" Id="rId50"/>
    <Relationship TargetMode="External" Target="https://www.legis.iowa.gov/docs/ico/chapter/259.1.pdf" Type="http://schemas.openxmlformats.org/officeDocument/2006/relationships/hyperlink" Id="rId51"/>
    <Relationship TargetMode="External" Target="https://www.legis.iowa.gov/docs/ico/chapter/259.1.pdf" Type="http://schemas.openxmlformats.org/officeDocument/2006/relationships/hyperlink" Id="rId52"/>
    <Relationship TargetMode="External" Target="https://www.legis.iowa.gov/docs/ico/chapter/259.1.pdf" Type="http://schemas.openxmlformats.org/officeDocument/2006/relationships/hyperlink" Id="rId53"/>
    <Relationship TargetMode="External" Target="https://www.legis.iowa.gov/docs/ico/chapter/259.1.pdf" Type="http://schemas.openxmlformats.org/officeDocument/2006/relationships/hyperlink" Id="rId54"/>
    <Relationship TargetMode="External" Target="https://www.legis.iowa.gov/docs/ico/chapter/22.7.pdf" Type="http://schemas.openxmlformats.org/officeDocument/2006/relationships/hyperlink" Id="rId55"/>
    <Relationship TargetMode="External" Target="https://www.legis.iowa.gov/docs/ico/chapter/22.7.pdf" Type="http://schemas.openxmlformats.org/officeDocument/2006/relationships/hyperlink" Id="rId56"/>
    <Relationship TargetMode="External" Target="https://www.legis.iowa.gov/docs/ico/chapter/259.1.pdf" Type="http://schemas.openxmlformats.org/officeDocument/2006/relationships/hyperlink" Id="rId57"/>
    <Relationship TargetMode="External" Target="https://www.legis.iowa.gov/docs/ico/chapter/22.7.pdf" Type="http://schemas.openxmlformats.org/officeDocument/2006/relationships/hyperlink" Id="rId58"/>
    <Relationship TargetMode="External" Target="https://www.legis.iowa.gov/docs/ico/chapter/22.7.pdf" Type="http://schemas.openxmlformats.org/officeDocument/2006/relationships/hyperlink" Id="rId59"/>
    <Relationship TargetMode="External" Target="https://www.legis.iowa.gov/docs/ico/chapter/22.7.pdf" Type="http://schemas.openxmlformats.org/officeDocument/2006/relationships/hyperlink" Id="rId60"/>
    <Relationship TargetMode="External" Target="https://www.legis.iowa.gov/docs/ico/chapter/22.7.pdf" Type="http://schemas.openxmlformats.org/officeDocument/2006/relationships/hyperlink" Id="rId61"/>
    <Relationship TargetMode="External" Target="https://www.legis.iowa.gov/docs/ico/chapter/22.7.pdf" Type="http://schemas.openxmlformats.org/officeDocument/2006/relationships/hyperlink" Id="rId62"/>
    <Relationship TargetMode="External" Target="https://www.legis.iowa.gov/docs/ico/chapter/22.7.pdf" Type="http://schemas.openxmlformats.org/officeDocument/2006/relationships/hyperlink" Id="rId63"/>
    <Relationship TargetMode="External" Target="https://www.legis.iowa.gov/docs/ico/chapter/22.7.pdf" Type="http://schemas.openxmlformats.org/officeDocument/2006/relationships/hyperlink" Id="rId64"/>
    <Relationship TargetMode="External" Target="https://www.legis.iowa.gov/docs/ico/chapter/22.7.pdf" Type="http://schemas.openxmlformats.org/officeDocument/2006/relationships/hyperlink" Id="rId65"/>
    <Relationship TargetMode="External" Target="https://www.legis.iowa.gov/docs/ico/chapter/22.7.pdf" Type="http://schemas.openxmlformats.org/officeDocument/2006/relationships/hyperlink" Id="rId66"/>
    <Relationship TargetMode="External" Target="https://www.legis.iowa.gov/docs/ico/chapter/22.7.pdf" Type="http://schemas.openxmlformats.org/officeDocument/2006/relationships/hyperlink" Id="rId67"/>
    <Relationship TargetMode="External" Target="https://www.legis.iowa.gov/docs/ico/chapter/22.7.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22.7.pdf" Type="http://schemas.openxmlformats.org/officeDocument/2006/relationships/hyperlink" Id="rId70"/>
    <Relationship TargetMode="External" Target="https://www.legis.iowa.gov/docs/ico/chapter/22.7.pdf" Type="http://schemas.openxmlformats.org/officeDocument/2006/relationships/hyperlink" Id="rId71"/>
    <Relationship TargetMode="External" Target="https://www.legis.iowa.gov/docs/ico/chapter/22.7.pdf" Type="http://schemas.openxmlformats.org/officeDocument/2006/relationships/hyperlink" Id="rId72"/>
    <Relationship TargetMode="External" Target="https://www.legis.iowa.gov/docs/ico/chapter/22.7.pdf" Type="http://schemas.openxmlformats.org/officeDocument/2006/relationships/hyperlink" Id="rId73"/>
    <Relationship TargetMode="External" Target="https://www.legis.iowa.gov/docs/ico/chapter/22.7.pdf" Type="http://schemas.openxmlformats.org/officeDocument/2006/relationships/hyperlink" Id="rId74"/>
    <Relationship TargetMode="External" Target="https://www.legis.iowa.gov/docs/ico/chapter/22.7.pdf" Type="http://schemas.openxmlformats.org/officeDocument/2006/relationships/hyperlink" Id="rId75"/>
    <Relationship TargetMode="External" Target="https://www.legis.iowa.gov/docs/ico/chapter/22.7.pdf" Type="http://schemas.openxmlformats.org/officeDocument/2006/relationships/hyperlink" Id="rId76"/>
    <Relationship TargetMode="External" Target="https://www.legis.iowa.gov/docs/ico/chapter/22.7.pdf" Type="http://schemas.openxmlformats.org/officeDocument/2006/relationships/hyperlink" Id="rId77"/>
    <Relationship TargetMode="External" Target="https://www.legis.iowa.gov/docs/ico/chapter/22.7.pdf" Type="http://schemas.openxmlformats.org/officeDocument/2006/relationships/hyperlink" Id="rId78"/>
    <Relationship TargetMode="External" Target="https://www.legis.iowa.gov/docs/ico/chapter/22.7.pdf" Type="http://schemas.openxmlformats.org/officeDocument/2006/relationships/hyperlink" Id="rId79"/>
    <Relationship TargetMode="External" Target="https://www.legis.iowa.gov/docs/ico/chapter/22.7.pdf" Type="http://schemas.openxmlformats.org/officeDocument/2006/relationships/hyperlink" Id="rId80"/>
    <Relationship TargetMode="External" Target="https://www.legis.iowa.gov/docs/ico/chapter/22.7.pdf" Type="http://schemas.openxmlformats.org/officeDocument/2006/relationships/hyperlink" Id="rId81"/>
    <Relationship TargetMode="External" Target="https://www.legis.iowa.gov/docs/ico/chapter/22.7.pdf" Type="http://schemas.openxmlformats.org/officeDocument/2006/relationships/hyperlink" Id="rId82"/>
    <Relationship TargetMode="External" Target="https://www.legis.iowa.gov/docs/ico/chapter/259.1.pdf" Type="http://schemas.openxmlformats.org/officeDocument/2006/relationships/hyperlink" Id="rId83"/>
    <Relationship TargetMode="External" Target="https://www.legis.iowa.gov/docs/ico/chapter/259.1.pdf" Type="http://schemas.openxmlformats.org/officeDocument/2006/relationships/hyperlink" Id="rId84"/>
    <Relationship TargetMode="External" Target="https://www.legis.iowa.gov/docs/ico/chapter/259.1.pdf" Type="http://schemas.openxmlformats.org/officeDocument/2006/relationships/hyperlink" Id="rId85"/>
    <Relationship TargetMode="External" Target="https://www.legis.iowa.gov/docs/ico/chapter/259.1.pdf" Type="http://schemas.openxmlformats.org/officeDocument/2006/relationships/hyperlink" Id="rId86"/>
    <Relationship TargetMode="External" Target="https://www.legis.iowa.gov/docs/ico/chapter/259.1.pdf" Type="http://schemas.openxmlformats.org/officeDocument/2006/relationships/hyperlink" Id="rId87"/>
    <Relationship TargetMode="External" Target="https://www.legis.iowa.gov/docs/ico/chapter/259.1.pdf" Type="http://schemas.openxmlformats.org/officeDocument/2006/relationships/hyperlink" Id="rId88"/>
    <Relationship TargetMode="External" Target="https://www.legis.iowa.gov/docs/ico/chapter/259.1.pdf" Type="http://schemas.openxmlformats.org/officeDocument/2006/relationships/hyperlink" Id="rId89"/>
    <Relationship TargetMode="External" Target="https://www.legis.iowa.gov/docs/ico/chapter/259.1.pdf" Type="http://schemas.openxmlformats.org/officeDocument/2006/relationships/hyperlink" Id="rId90"/>
    <Relationship TargetMode="External" Target="https://www.legis.iowa.gov/docs/ico/chapter/19A.15.pdf" Type="http://schemas.openxmlformats.org/officeDocument/2006/relationships/hyperlink" Id="rId91"/>
    <Relationship TargetMode="External" Target="https://www.legis.iowa.gov/docs/ico/chapter/259.1.pdf" Type="http://schemas.openxmlformats.org/officeDocument/2006/relationships/hyperlink" Id="rId92"/>
    <Relationship TargetMode="External" Target="https://www.legis.iowa.gov/docs/ico/chapter/259.1.pdf" Type="http://schemas.openxmlformats.org/officeDocument/2006/relationships/hyperlink" Id="rId93"/>
    <Relationship TargetMode="External" Target="https://www.legis.iowa.gov/docs/iac/rule/111.13.1.pdf" Type="http://schemas.openxmlformats.org/officeDocument/2006/relationships/hyperlink" Id="rId94"/>
    <Relationship TargetMode="External" Target="https://www.legis.iowa.gov/docs/ico/chapter/259.1.pdf" Type="http://schemas.openxmlformats.org/officeDocument/2006/relationships/hyperlink" Id="rId95"/>
    <Relationship TargetMode="External" Target="https://www.legis.iowa.gov/docs/ico/chapter/259.1.pdf" Type="http://schemas.openxmlformats.org/officeDocument/2006/relationships/hyperlink" Id="rId96"/>
    <Relationship TargetMode="External" Target="https://www.legis.iowa.gov/docs/ico/chapter/259.1.pdf" Type="http://schemas.openxmlformats.org/officeDocument/2006/relationships/hyperlink" Id="rId97"/>
    <Relationship TargetMode="External" Target="https://www.legis.iowa.gov/docs/ico/chapter/19A.15.pdf" Type="http://schemas.openxmlformats.org/officeDocument/2006/relationships/hyperlink" Id="rId98"/>
    <Relationship TargetMode="External" Target="https://www.legis.iowa.gov/docs/ico/chapter/19A.15.pdf" Type="http://schemas.openxmlformats.org/officeDocument/2006/relationships/hyperlink" Id="rId99"/>
    <Relationship TargetMode="External" Target="https://www.legis.iowa.gov/docs/ico/chapter/19A.15.pdf" Type="http://schemas.openxmlformats.org/officeDocument/2006/relationships/hyperlink" Id="rId100"/>
    <Relationship TargetMode="External" Target="https://www.legis.iowa.gov/docs/ico/chapter/19A.15.pdf" Type="http://schemas.openxmlformats.org/officeDocument/2006/relationships/hyperlink" Id="rId101"/>
    <Relationship TargetMode="External" Target="https://www.legis.iowa.gov/docs/ico/chapter/19A.15.pdf" Type="http://schemas.openxmlformats.org/officeDocument/2006/relationships/hyperlink" Id="rId102"/>
    <Relationship TargetMode="External" Target="https://www.legis.iowa.gov/docs/ico/chapter/259.1.pdf" Type="http://schemas.openxmlformats.org/officeDocument/2006/relationships/hyperlink" Id="rId103"/>
    <Relationship TargetMode="External" Target="https://www.legis.iowa.gov/docs/ico/chapter/259.1.pdf" Type="http://schemas.openxmlformats.org/officeDocument/2006/relationships/hyperlink" Id="rId104"/>
    <Relationship TargetMode="External" Target="https://www.legis.iowa.gov/docs/ico/chapter/259.1.pdf" Type="http://schemas.openxmlformats.org/officeDocument/2006/relationships/hyperlink" Id="rId105"/>
    <Relationship TargetMode="External" Target="https://www.legis.iowa.gov/docs/ico/chapter/259.1.pdf" Type="http://schemas.openxmlformats.org/officeDocument/2006/relationships/hyperlink" Id="rId106"/>
    <Relationship TargetMode="External" Target="https://www.legis.iowa.gov/docs/ico/chapter/259.1.pdf" Type="http://schemas.openxmlformats.org/officeDocument/2006/relationships/hyperlink" Id="rId107"/>
    <Relationship TargetMode="External" Target="https://www.legis.iowa.gov/docs/ico/chapter/259.1.pdf" Type="http://schemas.openxmlformats.org/officeDocument/2006/relationships/hyperlink" Id="rId108"/>
    <Relationship TargetMode="External" Target="https://www.legis.iowa.gov/docs/ico/chapter/259.1.pdf" Type="http://schemas.openxmlformats.org/officeDocument/2006/relationships/hyperlink" Id="rId109"/>
    <Relationship TargetMode="External" Target="https://www.legis.iowa.gov/docs/ico/chapter/259.1.pdf" Type="http://schemas.openxmlformats.org/officeDocument/2006/relationships/hyperlink" Id="rId110"/>
    <Relationship TargetMode="External" Target="https://www.legis.iowa.gov/docs/ico/chapter/259.1.pdf" Type="http://schemas.openxmlformats.org/officeDocument/2006/relationships/hyperlink" Id="rId111"/>
    <Relationship TargetMode="External" Target="https://www.legis.iowa.gov/docs/ico/chapter/259.1.pdf" Type="http://schemas.openxmlformats.org/officeDocument/2006/relationships/hyperlink" Id="rId112"/>
    <Relationship TargetMode="External" Target="https://www.legis.iowa.gov/docs/ico/chapter/259.1.pdf" Type="http://schemas.openxmlformats.org/officeDocument/2006/relationships/hyperlink" Id="rId113"/>
    <Relationship TargetMode="External" Target="https://www.legis.iowa.gov/docs/ico/chapter/259.1.pdf" Type="http://schemas.openxmlformats.org/officeDocument/2006/relationships/hyperlink" Id="rId114"/>
    <Relationship TargetMode="External" Target="https://www.legis.iowa.gov/docs/ico/chapter/259.1.pdf" Type="http://schemas.openxmlformats.org/officeDocument/2006/relationships/hyperlink" Id="rId115"/>
    <Relationship TargetMode="External" Target="https://www.legis.iowa.gov/docs/ico/chapter/259.1.pdf" Type="http://schemas.openxmlformats.org/officeDocument/2006/relationships/hyperlink" Id="rId116"/>
    <Relationship TargetMode="External" Target="https://www.legis.iowa.gov/docs/ico/chapter/259.1.pdf" Type="http://schemas.openxmlformats.org/officeDocument/2006/relationships/hyperlink" Id="rId117"/>
    <Relationship TargetMode="External" Target="https://www.legis.iowa.gov/docs/ico/chapter/216B.3.pdf" Type="http://schemas.openxmlformats.org/officeDocument/2006/relationships/hyperlink" Id="rId118"/>
    <Relationship TargetMode="External" Target="https://www.legis.iowa.gov/docs/ico/chapter/216B.3.pdf" Type="http://schemas.openxmlformats.org/officeDocument/2006/relationships/hyperlink" Id="rId119"/>
    <Relationship TargetMode="External" Target="https://www.legis.iowa.gov/docs/ico/chapter/216B.3.pdf" Type="http://schemas.openxmlformats.org/officeDocument/2006/relationships/hyperlink" Id="rId120"/>
    <Relationship TargetMode="External" Target="https://www.legis.iowa.gov/docs/ico/chapter/22.7.pdf" Type="http://schemas.openxmlformats.org/officeDocument/2006/relationships/hyperlink" Id="rId121"/>
    <Relationship TargetMode="External" Target="https://www.legis.iowa.gov/docs/ico/chapter/22.7.pdf" Type="http://schemas.openxmlformats.org/officeDocument/2006/relationships/hyperlink" Id="rId122"/>
    <Relationship TargetMode="External" Target="https://www.legis.iowa.gov/docs/ico/chapter/216B.3.pdf" Type="http://schemas.openxmlformats.org/officeDocument/2006/relationships/hyperlink" Id="rId123"/>
    <Relationship TargetMode="External" Target="https://www.legis.iowa.gov/docs/ico/chapter/216B.3.pdf" Type="http://schemas.openxmlformats.org/officeDocument/2006/relationships/hyperlink" Id="rId124"/>
    <Relationship TargetMode="External" Target="https://www.legis.iowa.gov/docs/ico/chapter/216B.3.pdf" Type="http://schemas.openxmlformats.org/officeDocument/2006/relationships/hyperlink" Id="rId125"/>
    <Relationship TargetMode="External" Target="https://www.legis.iowa.gov/docs/ico/chapter/216B.3.pdf" Type="http://schemas.openxmlformats.org/officeDocument/2006/relationships/hyperlink" Id="rId126"/>
    <Relationship TargetMode="External" Target="https://www.legis.iowa.gov/docs/ico/chapter/216B.3.pdf" Type="http://schemas.openxmlformats.org/officeDocument/2006/relationships/hyperlink" Id="rId127"/>
    <Relationship TargetMode="External" Target="https://www.legis.iowa.gov/docs/ico/chapter/216B.3.pdf" Type="http://schemas.openxmlformats.org/officeDocument/2006/relationships/hyperlink" Id="rId128"/>
    <Relationship TargetMode="External" Target="https://www.legis.iowa.gov/docs/ico/chapter/216B.3.pdf" Type="http://schemas.openxmlformats.org/officeDocument/2006/relationships/hyperlink" Id="rId129"/>
    <Relationship TargetMode="External" Target="https://www.legis.iowa.gov/docs/ico/chapter/216B.3.pdf" Type="http://schemas.openxmlformats.org/officeDocument/2006/relationships/hyperlink" Id="rId130"/>
    <Relationship TargetMode="External" Target="https://www.legis.iowa.gov/docs/ico/chapter/216B.3.pdf" Type="http://schemas.openxmlformats.org/officeDocument/2006/relationships/hyperlink" Id="rId131"/>
    <Relationship TargetMode="External" Target="https://www.legis.iowa.gov/docs/ico/chapter/216B.3.pdf" Type="http://schemas.openxmlformats.org/officeDocument/2006/relationships/hyperlink" Id="rId132"/>
    <Relationship TargetMode="External" Target="https://www.legis.iowa.gov/docs/ico/chapter/216B.3.pdf" Type="http://schemas.openxmlformats.org/officeDocument/2006/relationships/hyperlink" Id="rId133"/>
    <Relationship TargetMode="External" Target="https://www.legis.iowa.gov/docs/ico/chapter/216B.3.pdf" Type="http://schemas.openxmlformats.org/officeDocument/2006/relationships/hyperlink" Id="rId134"/>
    <Relationship TargetMode="External" Target="https://www.legis.iowa.gov/docs/ico/chapter/216B.3.pdf" Type="http://schemas.openxmlformats.org/officeDocument/2006/relationships/hyperlink" Id="rId135"/>
    <Relationship TargetMode="External" Target="https://www.legis.iowa.gov/docs/ico/chapter/216B.3.pdf" Type="http://schemas.openxmlformats.org/officeDocument/2006/relationships/hyperlink" Id="rId136"/>
    <Relationship TargetMode="External" Target="https://www.legis.iowa.gov/docs/ico/chapter/216B.3.pdf" Type="http://schemas.openxmlformats.org/officeDocument/2006/relationships/hyperlink" Id="rId137"/>
    <Relationship TargetMode="External" Target="https://www.legis.iowa.gov/docs/ico/chapter/216B.3.pdf" Type="http://schemas.openxmlformats.org/officeDocument/2006/relationships/hyperlink" Id="rId138"/>
    <Relationship TargetMode="External" Target="https://www.legis.iowa.gov/docs/ico/chapter/216B.3.pdf" Type="http://schemas.openxmlformats.org/officeDocument/2006/relationships/hyperlink" Id="rId139"/>
    <Relationship TargetMode="External" Target="https://www.legis.iowa.gov/docs/ico/chapter/216B.3.pdf" Type="http://schemas.openxmlformats.org/officeDocument/2006/relationships/hyperlink" Id="rId140"/>
    <Relationship TargetMode="External" Target="https://www.legis.iowa.gov/docs/ico/chapter/216B.3.pdf" Type="http://schemas.openxmlformats.org/officeDocument/2006/relationships/hyperlink" Id="rId141"/>
    <Relationship TargetMode="External" Target="https://www.legis.iowa.gov/docs/ico/chapter/216B.3.pdf" Type="http://schemas.openxmlformats.org/officeDocument/2006/relationships/hyperlink" Id="rId142"/>
    <Relationship TargetMode="External" Target="https://www.legis.iowa.gov/docs/ico/chapter/216B.3.pdf" Type="http://schemas.openxmlformats.org/officeDocument/2006/relationships/hyperlink" Id="rId143"/>
    <Relationship TargetMode="External" Target="https://www.legis.iowa.gov/docs/ico/chapter/259.1.pdf" Type="http://schemas.openxmlformats.org/officeDocument/2006/relationships/hyperlink" Id="rId144"/>
    <Relationship TargetMode="External" Target="https://www.legis.iowa.gov/docs/ico/chapter/259.1.pdf" Type="http://schemas.openxmlformats.org/officeDocument/2006/relationships/hyperlink" Id="rId145"/>
    <Relationship TargetMode="External" Target="https://www.legis.iowa.gov/docs/ico/chapter/259.1.pdf" Type="http://schemas.openxmlformats.org/officeDocument/2006/relationships/hyperlink" Id="rId146"/>
    <Relationship TargetMode="External" Target="https://www.legis.iowa.gov/docs/ico/chapter/259.1.pdf" Type="http://schemas.openxmlformats.org/officeDocument/2006/relationships/hyperlink" Id="rId147"/>
    <Relationship TargetMode="External" Target="https://www.legis.iowa.gov/docs/ico/chapter/259.1.pdf" Type="http://schemas.openxmlformats.org/officeDocument/2006/relationships/hyperlink" Id="rId148"/>
    <Relationship TargetMode="External" Target="https://www.legis.iowa.gov/docs/ico/chapter/259.1.pdf" Type="http://schemas.openxmlformats.org/officeDocument/2006/relationships/hyperlink" Id="rId149"/>
    <Relationship TargetMode="External" Target="https://www.legis.iowa.gov/docs/ico/chapter/259.1.pdf" Type="http://schemas.openxmlformats.org/officeDocument/2006/relationships/hyperlink" Id="rId150"/>
    <Relationship TargetMode="External" Target="https://www.legis.iowa.gov/docs/ico/chapter/259.1.pdf" Type="http://schemas.openxmlformats.org/officeDocument/2006/relationships/hyperlink" Id="rId151"/>
    <Relationship TargetMode="External" Target="https://www.legis.iowa.gov/docs/ico/chapter/259.1.pdf" Type="http://schemas.openxmlformats.org/officeDocument/2006/relationships/hyperlink" Id="rId152"/>
    <Relationship TargetMode="External" Target="https://www.legis.iowa.gov/docs/ico/chapter/19A.15.pdf" Type="http://schemas.openxmlformats.org/officeDocument/2006/relationships/hyperlink" Id="rId153"/>
    <Relationship TargetMode="External" Target="https://www.legis.iowa.gov/docs/ico/chapter/19A.15.pdf" Type="http://schemas.openxmlformats.org/officeDocument/2006/relationships/hyperlink" Id="rId154"/>
    <Relationship TargetMode="External" Target="https://www.legis.iowa.gov/docs/ico/chapter/259.1.pdf" Type="http://schemas.openxmlformats.org/officeDocument/2006/relationships/hyperlink" Id="rId155"/>
    <Relationship TargetMode="External" Target="https://www.legis.iowa.gov/docs/ico/chapter/216B.3.pdf" Type="http://schemas.openxmlformats.org/officeDocument/2006/relationships/hyperlink" Id="rId156"/>
    <Relationship TargetMode="External" Target="https://www.legis.iowa.gov/docs/ico/chapter/259.1.pdf" Type="http://schemas.openxmlformats.org/officeDocument/2006/relationships/hyperlink" Id="rId157"/>
    <Relationship TargetMode="External" Target="https://www.legis.iowa.gov/docs/ico/chapter/259.1.pdf" Type="http://schemas.openxmlformats.org/officeDocument/2006/relationships/hyperlink" Id="rId158"/>
    <Relationship TargetMode="External" Target="https://www.legis.iowa.gov/docs/ico/chapter/259.1.pdf" Type="http://schemas.openxmlformats.org/officeDocument/2006/relationships/hyperlink" Id="rId159"/>
    <Relationship TargetMode="External" Target="https://www.legis.iowa.gov/docs/ico/chapter/259.1.pdf" Type="http://schemas.openxmlformats.org/officeDocument/2006/relationships/hyperlink" Id="rId160"/>
    <Relationship TargetMode="External" Target="https://www.legis.iowa.gov/docs/ico/chapter/259.1.pdf" Type="http://schemas.openxmlformats.org/officeDocument/2006/relationships/hyperlink" Id="rId161"/>
    <Relationship TargetMode="External" Target="https://www.legis.iowa.gov/docs/ico/chapter/259.1.pdf" Type="http://schemas.openxmlformats.org/officeDocument/2006/relationships/hyperlink" Id="rId162"/>
    <Relationship TargetMode="External" Target="https://www.legis.iowa.gov/docs/ico/chapter/259.1.pdf" Type="http://schemas.openxmlformats.org/officeDocument/2006/relationships/hyperlink" Id="rId163"/>
    <Relationship TargetMode="External" Target="https://www.legis.iowa.gov/docs/ico/chapter/259.1.pdf" Type="http://schemas.openxmlformats.org/officeDocument/2006/relationships/hyperlink" Id="rId164"/>
    <Relationship TargetMode="External" Target="https://www.legis.iowa.gov/docs/ico/chapter/259.1.pdf" Type="http://schemas.openxmlformats.org/officeDocument/2006/relationships/hyperlink" Id="rId165"/>
    <Relationship TargetMode="External" Target="https://www.legis.iowa.gov/docs/ico/chapter/259.1.pdf" Type="http://schemas.openxmlformats.org/officeDocument/2006/relationships/hyperlink" Id="rId166"/>
    <Relationship TargetMode="External" Target="https://www.legis.iowa.gov/docs/ico/chapter/259.1.pdf" Type="http://schemas.openxmlformats.org/officeDocument/2006/relationships/hyperlink" Id="rId167"/>
    <Relationship TargetMode="External" Target="https://www.legis.iowa.gov/docs/ico/chapter/259.1.pdf" Type="http://schemas.openxmlformats.org/officeDocument/2006/relationships/hyperlink" Id="rId168"/>
    <Relationship TargetMode="External" Target="https://www.legis.iowa.gov/docs/ico/chapter/216B.3.pdf" Type="http://schemas.openxmlformats.org/officeDocument/2006/relationships/hyperlink" Id="rId169"/>
    <Relationship TargetMode="External" Target="https://www.legis.iowa.gov/docs/ico/chapter/216B.3.pdf" Type="http://schemas.openxmlformats.org/officeDocument/2006/relationships/hyperlink" Id="rId170"/>
    <Relationship TargetMode="External" Target="https://www.legis.iowa.gov/docs/ico/chapter/216B.3.pdf" Type="http://schemas.openxmlformats.org/officeDocument/2006/relationships/hyperlink" Id="rId171"/>
    <Relationship TargetMode="External" Target="https://www.legis.iowa.gov/docs/ico/chapter/216B.3.pdf" Type="http://schemas.openxmlformats.org/officeDocument/2006/relationships/hyperlink" Id="rId172"/>
    <Relationship TargetMode="External" Target="https://www.legis.iowa.gov/docs/ico/chapter/216B.3.pdf" Type="http://schemas.openxmlformats.org/officeDocument/2006/relationships/hyperlink" Id="rId173"/>
    <Relationship TargetMode="External" Target="https://www.legis.iowa.gov/docs/ico/chapter/259.1.pdf" Type="http://schemas.openxmlformats.org/officeDocument/2006/relationships/hyperlink" Id="rId174"/>
    <Relationship TargetMode="External" Target="https://www.legis.iowa.gov/docs/ico/chapter/259.1.pdf" Type="http://schemas.openxmlformats.org/officeDocument/2006/relationships/hyperlink" Id="rId175"/>
    <Relationship TargetMode="External" Target="https://www.legis.iowa.gov/docs/ico/chapter/259.1.pdf" Type="http://schemas.openxmlformats.org/officeDocument/2006/relationships/hyperlink" Id="rId176"/>
    <Relationship TargetMode="External" Target="https://www.legis.iowa.gov/docs/ico/chapter/22.pdf" Type="http://schemas.openxmlformats.org/officeDocument/2006/relationships/hyperlink" Id="rId177"/>
    <Relationship TargetMode="External" Target="https://www.legis.iowa.gov/docs/ico/chapter/17A.pdf" Type="http://schemas.openxmlformats.org/officeDocument/2006/relationships/hyperlink" Id="rId178"/>
    <Relationship TargetMode="External" Target="https://www.legis.iowa.gov/docs/ico/chapter/22.pdf" Type="http://schemas.openxmlformats.org/officeDocument/2006/relationships/hyperlink" Id="rId1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