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WAIVERS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11—9.1</w:t>
      </w:r>
      <w:r>
        <w:rPr>
          <w:rFonts w:ascii="Times New Roman" w:hAnsi="Times New Roman"/>
          <w:b/>
          <w:i w:val="false"/>
          <w:color w:val="000000"/>
          <w:sz w:val="22"/>
        </w:rPr>
        <w:t xml:space="preserve">(17A,8A)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“DAS” </w:t>
      </w:r>
      <w:r>
        <w:rPr>
          <w:rFonts w:ascii="Times New Roman" w:hAnsi="Times New Roman"/>
          <w:b w:val="false"/>
          <w:i w:val="false"/>
          <w:color w:val="000000"/>
          <w:sz w:val="22"/>
        </w:rPr>
        <w:t xml:space="preserve">means the department of administrative services authorized by Iowa Code chapter </w:t>
      </w:r>
      <w:hyperlink r:id="rId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administrative services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government or governmental subdivision or agency, business trust, estate, trust, partnership or association, vendor, or any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means any action by the department that suspends in whole or in part the requirements or provisions of a rule as applied to an identified person on the basis of the particular circumstances of that person.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5391C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11—9.2</w:t>
      </w:r>
      <w:r>
        <w:rPr>
          <w:rFonts w:ascii="Times New Roman" w:hAnsi="Times New Roman"/>
          <w:b/>
          <w:i w:val="false"/>
          <w:color w:val="000000"/>
          <w:sz w:val="22"/>
        </w:rPr>
        <w:t xml:space="preserve">(17A,8A)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outlines generally applicable standards and a uniform process for the granting of individual waivers from rules adopted by the department in situations where no other more specifically applicable law provides for waivers. To the extent another more specific provision of law governs the issuance of a waiver from a particular rule, the more specific provision shall supersede this chapter with respect to any waiver from that rule.</w:t>
      </w:r>
    </w:p>
    <w:p>
      <w:pPr>
        <w:spacing w:before="0" w:after="0"/>
        <w:ind w:left="120"/>
        <w:jc w:val="both"/>
      </w:pPr>
      <w:r>
        <w:rPr>
          <w:rFonts w:ascii="Times New Roman" w:hAnsi="Times New Roman"/>
          <w:b/>
          <w:i w:val="false"/>
          <w:color w:val="000000"/>
          <w:sz w:val="22"/>
        </w:rPr>
        <w:t>11—9.3</w:t>
      </w:r>
      <w:r>
        <w:rPr>
          <w:rFonts w:ascii="Times New Roman" w:hAnsi="Times New Roman"/>
          <w:b/>
          <w:i w:val="false"/>
          <w:color w:val="000000"/>
          <w:sz w:val="22"/>
        </w:rPr>
        <w:t xml:space="preserve">(17A,8A)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Department authority. </w:t>
      </w:r>
      <w:r>
        <w:rPr>
          <w:rFonts w:ascii="Times New Roman" w:hAnsi="Times New Roman"/>
          <w:b w:val="false"/>
          <w:i w:val="false"/>
          <w:color w:val="000000"/>
          <w:sz w:val="22"/>
        </w:rPr>
        <w:t>The department may grant a waiver from a rule only if the department has jurisdiction over the rule from which waiver is requested or has final decision-making authority over a contested case in which a waiver is requested and the requested waiver is consistent with applicable statutes, constitutional provisions, or other provisions of law. The department may not waive requirements created or duties imposed by statute. Any waiver must be consistent with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Interpretive rules. </w:t>
      </w:r>
      <w:r>
        <w:rPr>
          <w:rFonts w:ascii="Times New Roman" w:hAnsi="Times New Roman"/>
          <w:b w:val="false"/>
          <w:i w:val="false"/>
          <w:color w:val="000000"/>
          <w:sz w:val="22"/>
        </w:rPr>
        <w:t>This chapter shall not apply to rules that merely define the meaning of a statute or other provisions of law or precedent if the department does not possess delegated authority to bind the courts to any extent with its definition.</w:t>
      </w:r>
    </w:p>
    <w:p>
      <w:pPr>
        <w:spacing w:before="0" w:after="0"/>
        <w:ind w:left="120"/>
        <w:jc w:val="both"/>
      </w:pPr>
      <w:r>
        <w:rPr>
          <w:rFonts w:ascii="Times New Roman" w:hAnsi="Times New Roman"/>
          <w:b/>
          <w:i w:val="false"/>
          <w:color w:val="000000"/>
          <w:sz w:val="22"/>
        </w:rPr>
        <w:t>11—9.4</w:t>
      </w:r>
      <w:r>
        <w:rPr>
          <w:rFonts w:ascii="Times New Roman" w:hAnsi="Times New Roman"/>
          <w:b/>
          <w:i w:val="false"/>
          <w:color w:val="000000"/>
          <w:sz w:val="22"/>
        </w:rPr>
        <w:t xml:space="preserve">(17A,8A) </w:t>
      </w:r>
      <w:r>
        <w:rPr>
          <w:rFonts w:ascii="Times New Roman" w:hAnsi="Times New Roman"/>
          <w:b/>
          <w:i w:val="false"/>
          <w:color w:val="000000"/>
          <w:sz w:val="22"/>
        </w:rPr>
        <w:t xml:space="preserve">Granting a waiver. </w:t>
      </w:r>
      <w:r>
        <w:rPr>
          <w:rFonts w:ascii="Times New Roman" w:hAnsi="Times New Roman"/>
          <w:b w:val="false"/>
          <w:i w:val="false"/>
          <w:color w:val="000000"/>
          <w:sz w:val="22"/>
        </w:rPr>
        <w:t xml:space="preserve">In response to a petition completed pursuant to rule </w:t>
      </w:r>
      <w:hyperlink r:id="rId6">
        <w:r>
          <w:rPr>
            <w:rStyle w:val="Hyperlink"/>
            <w:rFonts w:ascii="Times New Roman" w:hAnsi="Times New Roman"/>
            <w:b w:val="false"/>
            <w:i w:val="false"/>
            <w:color w:val="000000"/>
            <w:sz w:val="22"/>
          </w:rPr>
          <w:t>11—9.6</w:t>
        </w:r>
      </w:hyperlink>
      <w:r>
        <w:rPr>
          <w:rFonts w:ascii="Times New Roman" w:hAnsi="Times New Roman"/>
          <w:b w:val="false"/>
          <w:i w:val="false"/>
          <w:color w:val="000000"/>
          <w:sz w:val="22"/>
        </w:rPr>
        <w:t>(17A,8A), the director may, in the director’s sole discretion, issue an order waiving in whole or in part the requirements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A waiver may be granted if the director finds based on clear and convincing evidence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pose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In determining whether a waiver should be granted, the director shall consider the public interest, policies and legislative intent of the statute on which the rule is based. When the rule from which a waiver is sought establishes administrative deadlines, the director shall balance the special individual circumstances of the petitioner with the overall goal of uniform treatment of all affected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Special waiver of rules not precluded. </w:t>
      </w:r>
      <w:r>
        <w:rPr>
          <w:rFonts w:ascii="Times New Roman" w:hAnsi="Times New Roman"/>
          <w:b w:val="false"/>
          <w:i w:val="false"/>
          <w:color w:val="000000"/>
          <w:sz w:val="22"/>
        </w:rPr>
        <w:t xml:space="preserve">These rules shall not preclude the director from granting waivers in other contexts or on the basis of other standards if a statute or other department rule authorizes the director to do so; the director deems it appropriate to do so; and the director is not prohibited by state or federal statute, federal regulations, this rule, or any other rule adopted under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from issuing such waivers.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color w:val="000000"/>
          <w:sz w:val="22"/>
        </w:rPr>
        <w:t xml:space="preserve">Procurement-related waiver. </w:t>
      </w:r>
      <w:r>
        <w:rPr>
          <w:rFonts w:ascii="Times New Roman" w:hAnsi="Times New Roman"/>
          <w:b w:val="false"/>
          <w:i w:val="false"/>
          <w:color w:val="000000"/>
          <w:sz w:val="22"/>
        </w:rPr>
        <w:t>The director may waive a rule due to noncompliance with a stated requirement in a procurement, sale, or auction if the request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is made prior to the issuance of a notice of intent to award a contract or the finalization of a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will tend to promote competition rather than inhibit or reduce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waiver will not materially alter the substantive contents of the offer, a response to an invitation to bid or a response to a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noncompliance with the stated requirement is correctable (if correction is necessary) without materially or substantially altering the substantive contents of the offer, a response to an invitation to bid or a response to a request for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other person who submits an offer, a response to an invitation to bid or a response to a request for proposals is materially or substantially harmed by the waiver. A person shall not be deemed to have been harmed if the waiver merely increases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Fundamental notions of good faith and fair dealing favor the issuance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waiver will not result in unreasonable delay in the procurement, sale or auction and will not interfere with certainty or finality in the procurement, sale or auction.</w:t>
      </w:r>
    </w:p>
    <w:p>
      <w:pPr>
        <w:spacing w:before="0" w:after="0"/>
        <w:ind w:left="120"/>
        <w:jc w:val="both"/>
      </w:pPr>
      <w:r>
        <w:rPr>
          <w:rFonts w:ascii="Times New Roman" w:hAnsi="Times New Roman"/>
          <w:b w:val="false"/>
          <w:i w:val="false"/>
          <w:color w:val="000000"/>
          <w:sz w:val="22"/>
        </w:rPr>
        <w:t xml:space="preserve">If the stated terms of the procurement, sale or auction permit or authorize waiver from the stated terms, the director may waive the stated terms without regard to subrule </w:t>
      </w:r>
      <w:hyperlink r:id="rId8">
        <w:r>
          <w:rPr>
            <w:rStyle w:val="Hyperlink"/>
            <w:rFonts w:ascii="Times New Roman" w:hAnsi="Times New Roman"/>
            <w:b w:val="false"/>
            <w:i w:val="false"/>
            <w:color w:val="000000"/>
            <w:sz w:val="22"/>
          </w:rPr>
          <w:t>9.4(1)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w:t>
      </w:r>
      <w:r>
        <w:rPr>
          <w:rFonts w:ascii="Times New Roman" w:hAnsi="Times New Roman"/>
          <w:b w:val="false"/>
          <w:i w:val="false"/>
          <w:color w:val="000000"/>
          <w:sz w:val="22"/>
        </w:rPr>
        <w:t> </w:t>
      </w:r>
      <w:r>
        <w:rPr>
          <w:rFonts w:ascii="Times New Roman" w:hAnsi="Times New Roman"/>
          <w:b w:val="false"/>
          <w:i/>
          <w:color w:val="000000"/>
          <w:sz w:val="22"/>
        </w:rPr>
        <w:t xml:space="preserve">Special waiver not permitted. </w:t>
      </w:r>
      <w:r>
        <w:rPr>
          <w:rFonts w:ascii="Times New Roman" w:hAnsi="Times New Roman"/>
          <w:b w:val="false"/>
          <w:i w:val="false"/>
          <w:color w:val="000000"/>
          <w:sz w:val="22"/>
        </w:rPr>
        <w:t xml:space="preserve">The compensation rates for publication in a newspaper for any notice, order or citation or other publication required or allowed by law as determined by the state printing administrator pursuant to Iowa Code section </w:t>
      </w:r>
      <w:hyperlink r:id="rId9">
        <w:r>
          <w:rPr>
            <w:rStyle w:val="Hyperlink"/>
            <w:rFonts w:ascii="Times New Roman" w:hAnsi="Times New Roman"/>
            <w:b w:val="false"/>
            <w:i w:val="false"/>
            <w:color w:val="000000"/>
            <w:sz w:val="22"/>
          </w:rPr>
          <w:t>618.11</w:t>
        </w:r>
      </w:hyperlink>
      <w:r>
        <w:rPr>
          <w:rFonts w:ascii="Times New Roman" w:hAnsi="Times New Roman"/>
          <w:b w:val="false"/>
          <w:i w:val="false"/>
          <w:color w:val="000000"/>
          <w:sz w:val="22"/>
        </w:rPr>
        <w:t xml:space="preserve"> shall not be waived. The procedure established in this chapter does not apply to waiver of contractual terms or conditions; contracts shall be waived only upon their own terms. These rules do not apply to the Terrace Hill commission established in Iowa Code section </w:t>
      </w:r>
      <w:hyperlink r:id="rId10">
        <w:r>
          <w:rPr>
            <w:rStyle w:val="Hyperlink"/>
            <w:rFonts w:ascii="Times New Roman" w:hAnsi="Times New Roman"/>
            <w:b w:val="false"/>
            <w:i w:val="false"/>
            <w:color w:val="000000"/>
            <w:sz w:val="22"/>
          </w:rPr>
          <w:t>8A.326</w:t>
        </w:r>
      </w:hyperlink>
      <w:r>
        <w:rPr>
          <w:rFonts w:ascii="Times New Roman" w:hAnsi="Times New Roman"/>
          <w:b w:val="false"/>
          <w:i w:val="false"/>
          <w:color w:val="000000"/>
          <w:sz w:val="22"/>
        </w:rPr>
        <w:t xml:space="preserve"> or rules adopted by the commission unless these rules are adopted by the Terrace Hill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5391C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11—9.5</w:t>
      </w:r>
      <w:r>
        <w:rPr>
          <w:rFonts w:ascii="Times New Roman" w:hAnsi="Times New Roman"/>
          <w:b/>
          <w:i w:val="false"/>
          <w:color w:val="000000"/>
          <w:sz w:val="22"/>
        </w:rPr>
        <w:t xml:space="preserve">(17A,8A) </w:t>
      </w:r>
      <w:r>
        <w:rPr>
          <w:rFonts w:ascii="Times New Roman" w:hAnsi="Times New Roman"/>
          <w:b/>
          <w:i w:val="false"/>
          <w:color w:val="000000"/>
          <w:sz w:val="22"/>
        </w:rPr>
        <w:t xml:space="preserve">Filing of petition for waiver. </w:t>
      </w:r>
      <w:r>
        <w:rPr>
          <w:rFonts w:ascii="Times New Roman" w:hAnsi="Times New Roman"/>
          <w:b w:val="false"/>
          <w:i w:val="false"/>
          <w:color w:val="000000"/>
          <w:sz w:val="22"/>
        </w:rPr>
        <w:t>Any person may file with the department a petition requesting a waiver, in whole or in part, of a rule of the department on the ground that the application of the rule to the particular circumstances of that person would qualify for a waiver.</w:t>
      </w:r>
    </w:p>
    <w:p>
      <w:pPr>
        <w:spacing w:before="0" w:after="0"/>
        <w:ind w:left="120"/>
        <w:jc w:val="both"/>
      </w:pPr>
      <w:r>
        <w:rPr>
          <w:rFonts w:ascii="Times New Roman" w:hAnsi="Times New Roman"/>
          <w:b w:val="false"/>
          <w:i w:val="false"/>
          <w:color w:val="000000"/>
          <w:sz w:val="22"/>
        </w:rPr>
        <w:t>A petition for a waiver must be submitted in writing to the Iowa Department of Administrative Services, Office of the Director, Hoover State Office Building, Third Floor, Des Moines, Iowa 50319-0104, Attention: Legal Counsel. Requests for waiver may be delivered, mailed, sent by facsimile transmission or by other electronic means reasonably calculated to reach the intended recipient.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If the petition relates to a pending appeal or contested case, a copy of the petition shall also be filed in the appeal proceeding or contested case using the caption of the appeal or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an appeal or contested case, the petition will be submitted to the department’s legal counsel.</w:t>
      </w:r>
    </w:p>
    <w:p>
      <w:pPr>
        <w:spacing w:before="0" w:after="0"/>
        <w:ind w:left="120"/>
        <w:jc w:val="both"/>
      </w:pPr>
      <w:r>
        <w:rPr>
          <w:rFonts w:ascii="Times New Roman" w:hAnsi="Times New Roman"/>
          <w:b/>
          <w:i w:val="false"/>
          <w:color w:val="000000"/>
          <w:sz w:val="22"/>
        </w:rPr>
        <w:t>11—9.6</w:t>
      </w:r>
      <w:r>
        <w:rPr>
          <w:rFonts w:ascii="Times New Roman" w:hAnsi="Times New Roman"/>
          <w:b/>
          <w:i w:val="false"/>
          <w:color w:val="000000"/>
          <w:sz w:val="22"/>
        </w:rPr>
        <w:t xml:space="preserve">(17A,8A)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entity or person for whom a waiver is being requested, and the case number of any related pending appeal or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(and the stated requirement in a procurement, auction or sale)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 and any alternative means or other condition or modification proposed to achieve the purposes of the rule.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that the petitioner believes would justify a waiver under each of the four criteria described in subrule </w:t>
      </w:r>
      <w:hyperlink r:id="rId11">
        <w:r>
          <w:rPr>
            <w:rStyle w:val="Hyperlink"/>
            <w:rFonts w:ascii="Times New Roman" w:hAnsi="Times New Roman"/>
            <w:b w:val="false"/>
            <w:i w:val="false"/>
            <w:color w:val="000000"/>
            <w:sz w:val="22"/>
          </w:rPr>
          <w:t>9.4(1)</w:t>
        </w:r>
      </w:hyperlink>
      <w:r>
        <w:rPr>
          <w:rFonts w:ascii="Times New Roman" w:hAnsi="Times New Roman"/>
          <w:b w:val="false"/>
          <w:i w:val="false"/>
          <w:color w:val="000000"/>
          <w:sz w:val="22"/>
        </w:rPr>
        <w:t xml:space="preserve"> or the criteria in subrule </w:t>
      </w:r>
      <w:hyperlink r:id="rId12">
        <w:r>
          <w:rPr>
            <w:rStyle w:val="Hyperlink"/>
            <w:rFonts w:ascii="Times New Roman" w:hAnsi="Times New Roman"/>
            <w:b w:val="false"/>
            <w:i w:val="false"/>
            <w:color w:val="000000"/>
            <w:sz w:val="22"/>
          </w:rPr>
          <w:t>9.4(3)</w:t>
        </w:r>
      </w:hyperlink>
      <w:r>
        <w:rPr>
          <w:rFonts w:ascii="Times New Roman" w:hAnsi="Times New Roman"/>
          <w:b w:val="false"/>
          <w:i w:val="false"/>
          <w:color w:val="000000"/>
          <w:sz w:val="22"/>
        </w:rPr>
        <w:t xml:space="preserve"> if the request relates to a procurement, sale or auction. This statement shall include a signed statement from the petitioner attesting to the accuracy of the facts provided in the petition, and a statement of reasons that the petitioner believes will justify the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department and the petitioner relating to the activity that is the subject of the requested waiver including, but not limited to, a list or description of prior notices, investigative reports, advice, negotiations, consultations or conferences, a description of contested case hearings relating to the activity within the past five years, and penalties relating to the proposed waiver.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requester regarding the department’s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entity or person who would be adversely affected by the granting of a petition, if reasonably known to the petitioner.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regarding the request to furnish the department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5391C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11—9.7</w:t>
      </w:r>
      <w:r>
        <w:rPr>
          <w:rFonts w:ascii="Times New Roman" w:hAnsi="Times New Roman"/>
          <w:b/>
          <w:i w:val="false"/>
          <w:color w:val="000000"/>
          <w:sz w:val="22"/>
        </w:rPr>
        <w:t xml:space="preserve">(17A,8A)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department may request additional information from the petitioner relative to the petition and surrounding circumstances. If the petition was not filed in conjunction with an appeal, the director may, on the director’s own motion or at the petitioner’s request, schedule a telephonic, ICN, or in-person meeting between the petitioner and the director.</w:t>
      </w:r>
    </w:p>
    <w:p>
      <w:pPr>
        <w:spacing w:before="0" w:after="0"/>
        <w:ind w:left="120"/>
        <w:jc w:val="both"/>
      </w:pPr>
      <w:r>
        <w:rPr>
          <w:rFonts w:ascii="Times New Roman" w:hAnsi="Times New Roman"/>
          <w:b/>
          <w:i w:val="false"/>
          <w:color w:val="000000"/>
          <w:sz w:val="22"/>
        </w:rPr>
        <w:t>11—9.8</w:t>
      </w:r>
      <w:r>
        <w:rPr>
          <w:rFonts w:ascii="Times New Roman" w:hAnsi="Times New Roman"/>
          <w:b/>
          <w:i w:val="false"/>
          <w:color w:val="000000"/>
          <w:sz w:val="22"/>
        </w:rPr>
        <w:t xml:space="preserve">(17A,8A) </w:t>
      </w:r>
      <w:r>
        <w:rPr>
          <w:rFonts w:ascii="Times New Roman" w:hAnsi="Times New Roman"/>
          <w:b/>
          <w:i w:val="false"/>
          <w:color w:val="000000"/>
          <w:sz w:val="22"/>
        </w:rPr>
        <w:t xml:space="preserve">Notice. </w:t>
      </w:r>
      <w:r>
        <w:rPr>
          <w:rFonts w:ascii="Times New Roman" w:hAnsi="Times New Roman"/>
          <w:b w:val="false"/>
          <w:i w:val="false"/>
          <w:color w:val="000000"/>
          <w:sz w:val="22"/>
        </w:rPr>
        <w:t>The department shall acknowledge the receipt of a petition by written means reasonably calculated to reach the petitioner or designee. The department shall ensure that, within 30 days of the receipt of the petition, notice and a concise summary of the content of the petition have been provided to all persons to whom notice is required by any provision of law. In addition, the department may give notice to other persons.</w:t>
      </w:r>
    </w:p>
    <w:p>
      <w:pPr>
        <w:spacing w:before="0" w:after="0"/>
        <w:ind w:left="120"/>
        <w:jc w:val="both"/>
      </w:pPr>
      <w:r>
        <w:rPr>
          <w:rFonts w:ascii="Times New Roman" w:hAnsi="Times New Roman"/>
          <w:b w:val="false"/>
          <w:i w:val="false"/>
          <w:color w:val="000000"/>
          <w:sz w:val="22"/>
        </w:rPr>
        <w:t>To accomplish this notice provision, the department may require the petitioner to serve the notice on all persons to whom notice is required by any provision of law and provide a written statement to the department attesting that notice has been provided.</w:t>
      </w:r>
    </w:p>
    <w:p>
      <w:pPr>
        <w:spacing w:before="0" w:after="0"/>
        <w:ind w:left="120"/>
        <w:jc w:val="both"/>
      </w:pPr>
      <w:r>
        <w:rPr>
          <w:rFonts w:ascii="Times New Roman" w:hAnsi="Times New Roman"/>
          <w:b/>
          <w:i w:val="false"/>
          <w:color w:val="000000"/>
          <w:sz w:val="22"/>
        </w:rPr>
        <w:t>11—9.9</w:t>
      </w:r>
      <w:r>
        <w:rPr>
          <w:rFonts w:ascii="Times New Roman" w:hAnsi="Times New Roman"/>
          <w:b/>
          <w:i w:val="false"/>
          <w:color w:val="000000"/>
          <w:sz w:val="22"/>
        </w:rPr>
        <w:t xml:space="preserve">(17A,8A)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13">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in three situations: (1) to any petition for a waiver of rule filed within a contested case; (2) when the director so provides by rule or order; or (3) when a statute so requires. Prior to issuing an order granting or denying a proposed waiver, the department shall determine whether or not the facts alleged in the proposed waiver are accurate and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5391C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11—9.10</w:t>
      </w:r>
      <w:r>
        <w:rPr>
          <w:rFonts w:ascii="Times New Roman" w:hAnsi="Times New Roman"/>
          <w:b/>
          <w:i w:val="false"/>
          <w:color w:val="000000"/>
          <w:sz w:val="22"/>
        </w:rPr>
        <w:t xml:space="preserve">(17A,8A)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(including any conditions)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w:t>
      </w:r>
      <w:r>
        <w:rPr>
          <w:rFonts w:ascii="Times New Roman" w:hAnsi="Times New Roman"/>
          <w:b w:val="false"/>
          <w:i w:val="false"/>
          <w:color w:val="000000"/>
          <w:sz w:val="22"/>
        </w:rPr>
        <w:t> </w:t>
      </w:r>
      <w:r>
        <w:rPr>
          <w:rFonts w:ascii="Times New Roman" w:hAnsi="Times New Roman"/>
          <w:b w:val="false"/>
          <w:i/>
          <w:color w:val="000000"/>
          <w:sz w:val="22"/>
        </w:rPr>
        <w:t xml:space="preserve">Director discretion. </w:t>
      </w:r>
      <w:r>
        <w:rPr>
          <w:rFonts w:ascii="Times New Roman" w:hAnsi="Times New Roman"/>
          <w:b w:val="false"/>
          <w:i w:val="false"/>
          <w:color w:val="000000"/>
          <w:sz w:val="22"/>
        </w:rPr>
        <w:t>The final decision on whether the circumstances justify the granting of a waiver shall be made at the sole discretion of the director, upon consideration of all relevant factors. Each petition for waiver shall be evaluated by the director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 xml:space="preserve">If the petition for waiver is based on a request pursuant to subrule </w:t>
      </w:r>
      <w:hyperlink r:id="rId14">
        <w:r>
          <w:rPr>
            <w:rStyle w:val="Hyperlink"/>
            <w:rFonts w:ascii="Times New Roman" w:hAnsi="Times New Roman"/>
            <w:b w:val="false"/>
            <w:i w:val="false"/>
            <w:color w:val="000000"/>
            <w:sz w:val="22"/>
          </w:rPr>
          <w:t>9.4(1)</w:t>
        </w:r>
      </w:hyperlink>
      <w:r>
        <w:rPr>
          <w:rFonts w:ascii="Times New Roman" w:hAnsi="Times New Roman"/>
          <w:b w:val="false"/>
          <w:i w:val="false"/>
          <w:color w:val="000000"/>
          <w:sz w:val="22"/>
        </w:rPr>
        <w:t>, the burden of persuasion rests with the petitioner to demonstrate by clear and convincing evidence that the director should exercise discretion to grant a waiver from a department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director shall balance the special individual circumstances of the petitioner with the overall goal of uniform treatment of all affected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director may place any condition on the waiver that the director finds desirable to protect the public health, safety, and welfare or other such reasonable conditions as are appropriate to achieve the objectives of the particular rule in question through alternative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director, a waiver may be renewed if the director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director shall grant or deny a petition for a waiver as soon as practicable but, in any event, shall do so within 120 days of its receipt, unless the petitioner agrees to a later date or the department, specifying good cause, extends this time period with respect to a particular petition for an additional 30 days. However, if a petition is filed in an appeal, the director shall grant or deny the petition no later than the time at which the final decision in that appeal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director to grant or deny a petition within the required time period shall be deemed a denial of that petition by the director. However, the director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5391C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11—9.11</w:t>
      </w:r>
      <w:r>
        <w:rPr>
          <w:rFonts w:ascii="Times New Roman" w:hAnsi="Times New Roman"/>
          <w:b/>
          <w:i w:val="false"/>
          <w:color w:val="000000"/>
          <w:sz w:val="22"/>
        </w:rPr>
        <w:t xml:space="preserve">(17A,8A)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1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department is authorized or required to keep confidential. The director may accordingly redact confidential information from petitions or orders prior to public inspection.</w:t>
      </w:r>
    </w:p>
    <w:p>
      <w:pPr>
        <w:spacing w:before="0" w:after="0"/>
        <w:ind w:left="120"/>
        <w:jc w:val="both"/>
      </w:pPr>
      <w:r>
        <w:rPr>
          <w:rFonts w:ascii="Times New Roman" w:hAnsi="Times New Roman"/>
          <w:b/>
          <w:i w:val="false"/>
          <w:color w:val="000000"/>
          <w:sz w:val="22"/>
        </w:rPr>
        <w:t>11—9.12</w:t>
      </w:r>
      <w:r>
        <w:rPr>
          <w:rFonts w:ascii="Times New Roman" w:hAnsi="Times New Roman"/>
          <w:b/>
          <w:i w:val="false"/>
          <w:color w:val="000000"/>
          <w:sz w:val="22"/>
        </w:rPr>
        <w:t xml:space="preserve">(17A,8A) </w:t>
      </w:r>
      <w:r>
        <w:rPr>
          <w:rFonts w:ascii="Times New Roman" w:hAnsi="Times New Roman"/>
          <w:b/>
          <w:i w:val="false"/>
          <w:color w:val="000000"/>
          <w:sz w:val="22"/>
        </w:rPr>
        <w:t xml:space="preserve">Rules from which the department shall not grant waivers. </w:t>
      </w:r>
      <w:r>
        <w:rPr>
          <w:rFonts w:ascii="Times New Roman" w:hAnsi="Times New Roman"/>
          <w:b w:val="false"/>
          <w:i w:val="false"/>
          <w:color w:val="000000"/>
          <w:sz w:val="22"/>
        </w:rPr>
        <w:t>The department shall not grant waivers from the following rules: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Rules regarding the taxability of pension, tax-sheltered annuity, deferred compensation, or health and dependent care benefits under the Internal Revenue Code or the Iowa Code and rules adopted thereunder.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Rules governing separations, disciplinary actions and reductions in force under </w:t>
      </w:r>
      <w:hyperlink r:id="rId17">
        <w:r>
          <w:rPr>
            <w:rStyle w:val="Hyperlink"/>
            <w:rFonts w:ascii="Times New Roman" w:hAnsi="Times New Roman"/>
            <w:b w:val="false"/>
            <w:i w:val="false"/>
            <w:color w:val="000000"/>
            <w:sz w:val="22"/>
          </w:rPr>
          <w:t>11—Chapter 60</w:t>
        </w:r>
      </w:hyperlink>
      <w:r>
        <w:rPr>
          <w:rFonts w:ascii="Times New Roman" w:hAnsi="Times New Roman"/>
          <w:b w:val="false"/>
          <w:i w:val="false"/>
          <w:color w:val="000000"/>
          <w:sz w:val="22"/>
        </w:rPr>
        <w:t xml:space="preserve"> and grievances and appeals under </w:t>
      </w:r>
      <w:hyperlink r:id="rId18">
        <w:r>
          <w:rPr>
            <w:rStyle w:val="Hyperlink"/>
            <w:rFonts w:ascii="Times New Roman" w:hAnsi="Times New Roman"/>
            <w:b w:val="false"/>
            <w:i w:val="false"/>
            <w:color w:val="000000"/>
            <w:sz w:val="22"/>
          </w:rPr>
          <w:t>11—Chapter 61</w:t>
        </w:r>
      </w:hyperlink>
      <w:r>
        <w:rPr>
          <w:rFonts w:ascii="Times New Roman" w:hAnsi="Times New Roman"/>
          <w:b w:val="false"/>
          <w:i w:val="false"/>
          <w:color w:val="000000"/>
          <w:sz w:val="22"/>
        </w:rPr>
        <w:t xml:space="preserve"> (except as permitted by statute and applicable department rules).</w:t>
      </w:r>
    </w:p>
    <w:p>
      <w:pPr>
        <w:spacing w:before="0" w:after="0"/>
        <w:ind w:left="120"/>
        <w:jc w:val="both"/>
      </w:pPr>
      <w:r>
        <w:rPr>
          <w:rFonts w:ascii="Times New Roman" w:hAnsi="Times New Roman"/>
          <w:b/>
          <w:i w:val="false"/>
          <w:color w:val="000000"/>
          <w:sz w:val="22"/>
        </w:rPr>
        <w:t>11—9.13</w:t>
      </w:r>
      <w:r>
        <w:rPr>
          <w:rFonts w:ascii="Times New Roman" w:hAnsi="Times New Roman"/>
          <w:b/>
          <w:i w:val="false"/>
          <w:color w:val="000000"/>
          <w:sz w:val="22"/>
        </w:rPr>
        <w:t xml:space="preserve">(17A,8A)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director shall make a submission on the Internet site established pursuant to Iowa Code section </w:t>
      </w:r>
      <w:hyperlink r:id="rId19">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for the submission of waiver information. The submission shall identify the rules for which a waiver has been granted or denied, the number of times a waiver was granted or denied for each rule, a citation to the statutory provisions implemented by these rules, and a general summary of the reasons justifying the director’s actions on waiver requests. If practicable, the submission shall detail the extent to which the granting of a waiver has established a precedent for additional waivers and the extent to which the granting of a waiver has affected the general applicability of the rule itself.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5391C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11—9.14</w:t>
      </w:r>
      <w:r>
        <w:rPr>
          <w:rFonts w:ascii="Times New Roman" w:hAnsi="Times New Roman"/>
          <w:b/>
          <w:i w:val="false"/>
          <w:color w:val="000000"/>
          <w:sz w:val="22"/>
        </w:rPr>
        <w:t xml:space="preserve">(17A,8A)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director pursuant to this chapter may be withdrawn, canceled, or modified if, after appropriate notice and hearing, the director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the material facts relevant to the propriety or desirability of the waiver;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p>
      <w:pPr>
        <w:spacing w:before="210" w:after="0"/>
        <w:ind w:left="120"/>
        <w:jc w:val="both"/>
      </w:pPr>
      <w:r>
        <w:rPr>
          <w:rFonts w:ascii="Times New Roman" w:hAnsi="Times New Roman"/>
          <w:b/>
          <w:i w:val="false"/>
          <w:color w:val="000000"/>
          <w:sz w:val="22"/>
        </w:rPr>
        <w:t>11—9.15</w:t>
      </w:r>
      <w:r>
        <w:rPr>
          <w:rFonts w:ascii="Times New Roman" w:hAnsi="Times New Roman"/>
          <w:b/>
          <w:i w:val="false"/>
          <w:color w:val="000000"/>
          <w:sz w:val="22"/>
        </w:rPr>
        <w:t xml:space="preserve">(17A,8A)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210" w:after="0"/>
        <w:ind w:left="120"/>
        <w:jc w:val="both"/>
      </w:pPr>
      <w:r>
        <w:rPr>
          <w:rFonts w:ascii="Times New Roman" w:hAnsi="Times New Roman"/>
          <w:b/>
          <w:i w:val="false"/>
          <w:color w:val="000000"/>
          <w:sz w:val="22"/>
        </w:rPr>
        <w:t>11—9.16</w:t>
      </w:r>
      <w:r>
        <w:rPr>
          <w:rFonts w:ascii="Times New Roman" w:hAnsi="Times New Roman"/>
          <w:b/>
          <w:i w:val="false"/>
          <w:color w:val="000000"/>
          <w:sz w:val="22"/>
        </w:rPr>
        <w:t xml:space="preserve">(17A,8A)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director issues an order granting a waiver, the order is a defense within its terms and the specific facts indicated therein for the person to whom the order pertains in any proceeding in which the rule in question is sought to be invoked.</w:t>
      </w:r>
    </w:p>
    <w:p>
      <w:pPr>
        <w:spacing w:before="210" w:after="0"/>
        <w:ind w:left="120"/>
        <w:jc w:val="both"/>
      </w:pPr>
      <w:r>
        <w:rPr>
          <w:rFonts w:ascii="Times New Roman" w:hAnsi="Times New Roman"/>
          <w:b/>
          <w:i w:val="false"/>
          <w:color w:val="000000"/>
          <w:sz w:val="22"/>
        </w:rPr>
        <w:t>11—9.17</w:t>
      </w:r>
      <w:r>
        <w:rPr>
          <w:rFonts w:ascii="Times New Roman" w:hAnsi="Times New Roman"/>
          <w:b/>
          <w:i w:val="false"/>
          <w:color w:val="000000"/>
          <w:sz w:val="22"/>
        </w:rPr>
        <w:t xml:space="preserve">(17A,8A)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department’s decision to grant or deny a waiver petition may be taken in accordance with Iowa Code chapter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1">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section </w:t>
      </w:r>
      <w:hyperlink r:id="rId22">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3/23/05, Notice 2/16/05—published 4/13/05, effective 5/18/05]</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5391C</w:t>
      </w:r>
      <w:r>
        <w:rPr>
          <w:rFonts w:ascii="Times New Roman" w:hAnsi="Times New Roman"/>
          <w:b w:val="false"/>
          <w:i w:val="false"/>
          <w:color w:val="000000"/>
          <w:sz w:val="21"/>
        </w:rPr>
        <w:t xml:space="preserve"> (Notice ARC 5243C, IAB 11/4/20)</w:t>
      </w:r>
      <w:r>
        <w:rPr>
          <w:rFonts w:ascii="Times New Roman" w:hAnsi="Times New Roman"/>
          <w:b w:val="false"/>
          <w:i w:val="false"/>
          <w:color w:val="000000"/>
          <w:sz w:val="21"/>
        </w:rPr>
        <w:t>, IAB 1/13/21, effective 2/17/21]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pdf" Type="http://schemas.openxmlformats.org/officeDocument/2006/relationships/hyperlink" Id="rId5"/>
    <Relationship TargetMode="External" Target="https://www.legis.iowa.gov/docs/iac/rule/11.9.6.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ac/rule/11.9.4.pdf" Type="http://schemas.openxmlformats.org/officeDocument/2006/relationships/hyperlink" Id="rId8"/>
    <Relationship TargetMode="External" Target="https://www.legis.iowa.gov/docs/ico/chapter/618.11.pdf" Type="http://schemas.openxmlformats.org/officeDocument/2006/relationships/hyperlink" Id="rId9"/>
    <Relationship TargetMode="External" Target="https://www.legis.iowa.gov/docs/ico/chapter/8A.326.pdf" Type="http://schemas.openxmlformats.org/officeDocument/2006/relationships/hyperlink" Id="rId10"/>
    <Relationship TargetMode="External" Target="https://www.legis.iowa.gov/docs/iac/rule/11.9.4.pdf" Type="http://schemas.openxmlformats.org/officeDocument/2006/relationships/hyperlink" Id="rId11"/>
    <Relationship TargetMode="External" Target="https://www.legis.iowa.gov/docs/iac/rule/11.9.4.pdf" Type="http://schemas.openxmlformats.org/officeDocument/2006/relationships/hyperlink" Id="rId12"/>
    <Relationship TargetMode="External" Target="https://www.legis.iowa.gov/docs/ico/chapter/17A.10-18A.pdf" Type="http://schemas.openxmlformats.org/officeDocument/2006/relationships/hyperlink" Id="rId13"/>
    <Relationship TargetMode="External" Target="https://www.legis.iowa.gov/docs/iac/rule/11.9.4.pdf" Type="http://schemas.openxmlformats.org/officeDocument/2006/relationships/hyperlink" Id="rId14"/>
    <Relationship TargetMode="External" Target="https://www.legis.iowa.gov/docs/ico/chapter/17A.3.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ac/chapter/11.60.pdf" Type="http://schemas.openxmlformats.org/officeDocument/2006/relationships/hyperlink" Id="rId17"/>
    <Relationship TargetMode="External" Target="https://www.legis.iowa.gov/docs/iac/chapter/11.61.pdf" Type="http://schemas.openxmlformats.org/officeDocument/2006/relationships/hyperlink" Id="rId18"/>
    <Relationship TargetMode="External" Target="https://www.legis.iowa.gov/docs/ico/chapter/17A.9A.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8A.pdf" Type="http://schemas.openxmlformats.org/officeDocument/2006/relationships/hyperlink" Id="rId21"/>
    <Relationship TargetMode="External" Target="https://www.legis.iowa.gov/docs/ico/chapter/17A.9A.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