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11—7.1</w:t>
      </w:r>
      <w:r>
        <w:rPr>
          <w:rFonts w:ascii="Times New Roman" w:hAnsi="Times New Roman"/>
          <w:b/>
          <w:i w:val="false"/>
          <w:color w:val="000000"/>
          <w:sz w:val="22"/>
        </w:rPr>
        <w:t xml:space="preserve">(8A,17A)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 xml:space="preserve">This chapter applies to contested case proceedings conducted by the department of administrative services or by the division of administrative hearings in the department of inspections and appeals on behalf of the department. Excepted from this chapter are matters covered by </w:t>
      </w:r>
      <w:hyperlink r:id="rId5">
        <w:r>
          <w:rPr>
            <w:rStyle w:val="Hyperlink"/>
            <w:rFonts w:ascii="Times New Roman" w:hAnsi="Times New Roman"/>
            <w:b w:val="false"/>
            <w:i w:val="false"/>
            <w:color w:val="000000"/>
            <w:sz w:val="22"/>
          </w:rPr>
          <w:t>rule 11—60.2(8A)</w:t>
        </w:r>
      </w:hyperlink>
      <w:r>
        <w:rPr>
          <w:rFonts w:ascii="Times New Roman" w:hAnsi="Times New Roman"/>
          <w:b w:val="false"/>
          <w:i w:val="false"/>
          <w:color w:val="000000"/>
          <w:sz w:val="22"/>
        </w:rPr>
        <w:t xml:space="preserve">, disciplinary actions; </w:t>
      </w:r>
      <w:hyperlink r:id="rId6">
        <w:r>
          <w:rPr>
            <w:rStyle w:val="Hyperlink"/>
            <w:rFonts w:ascii="Times New Roman" w:hAnsi="Times New Roman"/>
            <w:b w:val="false"/>
            <w:i w:val="false"/>
            <w:color w:val="000000"/>
            <w:sz w:val="22"/>
          </w:rPr>
          <w:t>rule 11—61.1(8A)</w:t>
        </w:r>
      </w:hyperlink>
      <w:r>
        <w:rPr>
          <w:rFonts w:ascii="Times New Roman" w:hAnsi="Times New Roman"/>
          <w:b w:val="false"/>
          <w:i w:val="false"/>
          <w:color w:val="000000"/>
          <w:sz w:val="22"/>
        </w:rPr>
        <w:t xml:space="preserve">, grievances; </w:t>
      </w:r>
      <w:hyperlink r:id="rId7">
        <w:r>
          <w:rPr>
            <w:rStyle w:val="Hyperlink"/>
            <w:rFonts w:ascii="Times New Roman" w:hAnsi="Times New Roman"/>
            <w:b w:val="false"/>
            <w:i w:val="false"/>
            <w:color w:val="000000"/>
            <w:sz w:val="22"/>
          </w:rPr>
          <w:t>11—subrule 61.2(6)</w:t>
        </w:r>
      </w:hyperlink>
      <w:r>
        <w:rPr>
          <w:rFonts w:ascii="Times New Roman" w:hAnsi="Times New Roman"/>
          <w:b w:val="false"/>
          <w:i w:val="false"/>
          <w:color w:val="000000"/>
          <w:sz w:val="22"/>
        </w:rPr>
        <w:t xml:space="preserve">, appeal of disciplinary actions; </w:t>
      </w:r>
      <w:hyperlink r:id="rId8">
        <w:r>
          <w:rPr>
            <w:rStyle w:val="Hyperlink"/>
            <w:rFonts w:ascii="Times New Roman" w:hAnsi="Times New Roman"/>
            <w:b w:val="false"/>
            <w:i w:val="false"/>
            <w:color w:val="000000"/>
            <w:sz w:val="22"/>
          </w:rPr>
          <w:t>rule 11—68.6(19B)</w:t>
        </w:r>
      </w:hyperlink>
      <w:r>
        <w:rPr>
          <w:rFonts w:ascii="Times New Roman" w:hAnsi="Times New Roman"/>
          <w:b w:val="false"/>
          <w:i w:val="false"/>
          <w:color w:val="000000"/>
          <w:sz w:val="22"/>
        </w:rPr>
        <w:t xml:space="preserve">, discrimination complaints, including disability-related and sexual harassment complaints; matters covered by the grievance procedure in any collective bargaining agreement with state employees; matters within the exclusive jurisdiction of the workers’ compensation commissioner; and matters related to any of the department’s vendors that administer group benefits if the vendor has an established complaint or appeal procedure. Further, the provisions of </w:t>
      </w:r>
      <w:hyperlink r:id="rId9">
        <w:r>
          <w:rPr>
            <w:rStyle w:val="Hyperlink"/>
            <w:rFonts w:ascii="Times New Roman" w:hAnsi="Times New Roman"/>
            <w:b w:val="false"/>
            <w:i w:val="false"/>
            <w:color w:val="000000"/>
            <w:sz w:val="22"/>
          </w:rPr>
          <w:t>11—Chapter 52</w:t>
        </w:r>
      </w:hyperlink>
      <w:r>
        <w:rPr>
          <w:rFonts w:ascii="Times New Roman" w:hAnsi="Times New Roman"/>
          <w:b w:val="false"/>
          <w:i w:val="false"/>
          <w:color w:val="000000"/>
          <w:sz w:val="22"/>
        </w:rPr>
        <w:t xml:space="preserve">, job classification, are exempt from </w:t>
      </w:r>
      <w:hyperlink r:id="rId10">
        <w:r>
          <w:rPr>
            <w:rStyle w:val="Hyperlink"/>
            <w:rFonts w:ascii="Times New Roman" w:hAnsi="Times New Roman"/>
            <w:b w:val="false"/>
            <w:i w:val="false"/>
            <w:color w:val="000000"/>
            <w:sz w:val="22"/>
          </w:rPr>
          <w:t>subrules 7.5(4)</w:t>
        </w:r>
      </w:hyperlink>
      <w:r>
        <w:rPr>
          <w:rFonts w:ascii="Times New Roman" w:hAnsi="Times New Roman"/>
          <w:b w:val="false"/>
          <w:i w:val="false"/>
          <w:color w:val="000000"/>
          <w:sz w:val="22"/>
        </w:rPr>
        <w:t xml:space="preserve"> to </w:t>
      </w:r>
      <w:hyperlink r:id="rId11">
        <w:r>
          <w:rPr>
            <w:rStyle w:val="Hyperlink"/>
            <w:rFonts w:ascii="Times New Roman" w:hAnsi="Times New Roman"/>
            <w:b w:val="false"/>
            <w:i w:val="false"/>
            <w:color w:val="000000"/>
            <w:sz w:val="22"/>
          </w:rPr>
          <w:t>7.5(7)</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rules 11—7.6(8A,17A)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11—7.8(8A,17A)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11—7.2</w:t>
      </w:r>
      <w:r>
        <w:rPr>
          <w:rFonts w:ascii="Times New Roman" w:hAnsi="Times New Roman"/>
          <w:b/>
          <w:i w:val="false"/>
          <w:color w:val="000000"/>
          <w:sz w:val="22"/>
        </w:rPr>
        <w:t xml:space="preserve">(8A,17A)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law judge (ALJ)” </w:t>
      </w:r>
      <w:r>
        <w:rPr>
          <w:rFonts w:ascii="Times New Roman" w:hAnsi="Times New Roman"/>
          <w:b w:val="false"/>
          <w:i w:val="false"/>
          <w:color w:val="000000"/>
          <w:sz w:val="22"/>
        </w:rPr>
        <w:t>means an employee of the administrative hearings division of the department of inspections and appeals who presides over contested cases and other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14">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15">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administrative services (DAS).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administrative services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administrative hearings of the department of inspections and appeals (DIA).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 parte” </w:t>
      </w:r>
      <w:r>
        <w:rPr>
          <w:rFonts w:ascii="Times New Roman" w:hAnsi="Times New Roman"/>
          <w:b w:val="false"/>
          <w:i w:val="false"/>
          <w:color w:val="000000"/>
          <w:sz w:val="22"/>
        </w:rPr>
        <w:t>means a communication, oral or written, to the presiding officer or other decision maker in a contested case without notice and an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 xml:space="preserve">is defined in </w:t>
      </w:r>
      <w:hyperlink r:id="rId16">
        <w:r>
          <w:rPr>
            <w:rStyle w:val="Hyperlink"/>
            <w:rFonts w:ascii="Times New Roman" w:hAnsi="Times New Roman"/>
            <w:b w:val="false"/>
            <w:i w:val="false"/>
            <w:color w:val="000000"/>
            <w:sz w:val="22"/>
          </w:rPr>
          <w:t>subrule 7.12(4)</w:t>
        </w:r>
      </w:hyperlink>
      <w:r>
        <w:rPr>
          <w:rFonts w:ascii="Times New Roman" w:hAnsi="Times New Roman"/>
          <w:b w:val="false"/>
          <w:i w:val="false"/>
          <w:color w:val="000000"/>
          <w:sz w:val="22"/>
        </w:rPr>
        <w:t xml:space="preserve"> 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 xml:space="preserve">means a party as defined in Iowa Code subsection </w:t>
      </w:r>
      <w:hyperlink r:id="rId17">
        <w:r>
          <w:rPr>
            <w:rStyle w:val="Hyperlink"/>
            <w:rFonts w:ascii="Times New Roman" w:hAnsi="Times New Roman"/>
            <w:b w:val="false"/>
            <w:i w:val="false"/>
            <w:color w:val="000000"/>
            <w:sz w:val="22"/>
          </w:rPr>
          <w:t>17A.2(8)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means the administrative law judge (ALJ) assigned to the contested case or, in the case of an appeal pursuant to </w:t>
      </w:r>
      <w:hyperlink r:id="rId18">
        <w:r>
          <w:rPr>
            <w:rStyle w:val="Hyperlink"/>
            <w:rFonts w:ascii="Times New Roman" w:hAnsi="Times New Roman"/>
            <w:b w:val="false"/>
            <w:i w:val="false"/>
            <w:color w:val="000000"/>
            <w:sz w:val="22"/>
          </w:rPr>
          <w:t>rule 11—52.5(8A)</w:t>
        </w:r>
      </w:hyperlink>
      <w:r>
        <w:rPr>
          <w:rFonts w:ascii="Times New Roman" w:hAnsi="Times New Roman"/>
          <w:b w:val="false"/>
          <w:i w:val="false"/>
          <w:color w:val="000000"/>
          <w:sz w:val="22"/>
        </w:rPr>
        <w:t>, the classification appeal committee appointed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and decision and order in contested cases where the department did not preside.</w:t>
      </w:r>
    </w:p>
    <w:p>
      <w:pPr>
        <w:spacing w:before="0" w:after="0"/>
        <w:ind w:left="120"/>
        <w:jc w:val="both"/>
      </w:pPr>
      <w:r>
        <w:rPr>
          <w:rFonts w:ascii="Times New Roman" w:hAnsi="Times New Roman"/>
          <w:b/>
          <w:i w:val="false"/>
          <w:color w:val="000000"/>
          <w:sz w:val="22"/>
        </w:rPr>
        <w:t>11—7.3</w:t>
      </w:r>
      <w:r>
        <w:rPr>
          <w:rFonts w:ascii="Times New Roman" w:hAnsi="Times New Roman"/>
          <w:b/>
          <w:i w:val="false"/>
          <w:color w:val="000000"/>
          <w:sz w:val="22"/>
        </w:rPr>
        <w:t xml:space="preserve">(8A,17A)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subsection </w:t>
      </w:r>
      <w:hyperlink r:id="rId19">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provided otherwise by rule or law. Except for good cause stated in the record, before extending or shortening the time to take any action, the presiding officer shall afford all parties an opportunity to be heard or to file written arguments.</w:t>
      </w:r>
    </w:p>
    <w:p>
      <w:pPr>
        <w:spacing w:before="0" w:after="0"/>
        <w:ind w:left="120"/>
        <w:jc w:val="both"/>
      </w:pPr>
      <w:r>
        <w:rPr>
          <w:rFonts w:ascii="Times New Roman" w:hAnsi="Times New Roman"/>
          <w:b/>
          <w:i w:val="false"/>
          <w:color w:val="000000"/>
          <w:sz w:val="22"/>
        </w:rPr>
        <w:t>11—7.4</w:t>
      </w:r>
      <w:r>
        <w:rPr>
          <w:rFonts w:ascii="Times New Roman" w:hAnsi="Times New Roman"/>
          <w:b/>
          <w:i w:val="false"/>
          <w:color w:val="000000"/>
          <w:sz w:val="22"/>
        </w:rPr>
        <w:t xml:space="preserve">(8A,17A) </w:t>
      </w:r>
      <w:r>
        <w:rPr>
          <w:rFonts w:ascii="Times New Roman" w:hAnsi="Times New Roman"/>
          <w:b/>
          <w:i w:val="false"/>
          <w:color w:val="000000"/>
          <w:sz w:val="22"/>
        </w:rPr>
        <w:t xml:space="preserve">Requests for a contested case hearing. </w:t>
      </w:r>
      <w:r>
        <w:rPr>
          <w:rFonts w:ascii="Times New Roman" w:hAnsi="Times New Roman"/>
          <w:b w:val="false"/>
          <w:i w:val="false"/>
          <w:color w:val="000000"/>
          <w:sz w:val="22"/>
        </w:rPr>
        <w:t>Any person claiming an entitlement to a contested case proceeding shall file a written request for such a proceeding within the time specified by the particular rules or statutes governing the subject matter or, in the absence of such law, the time specified in the department action in question.</w:t>
      </w:r>
    </w:p>
    <w:p>
      <w:pPr>
        <w:spacing w:before="0" w:after="0"/>
        <w:ind w:left="120"/>
        <w:jc w:val="both"/>
      </w:pPr>
      <w:r>
        <w:rPr>
          <w:rFonts w:ascii="Times New Roman" w:hAnsi="Times New Roman"/>
          <w:b w:val="false"/>
          <w:i w:val="false"/>
          <w:color w:val="000000"/>
          <w:sz w:val="22"/>
        </w:rPr>
        <w:t>The request for a contested case proceeding should state the name and address of the requester, identify the specific department action which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ind w:left="120"/>
        <w:jc w:val="both"/>
      </w:pPr>
      <w:r>
        <w:rPr>
          <w:rFonts w:ascii="Times New Roman" w:hAnsi="Times New Roman"/>
          <w:b/>
          <w:i w:val="false"/>
          <w:color w:val="000000"/>
          <w:sz w:val="22"/>
        </w:rPr>
        <w:t>11—7.5</w:t>
      </w:r>
      <w:r>
        <w:rPr>
          <w:rFonts w:ascii="Times New Roman" w:hAnsi="Times New Roman"/>
          <w:b/>
          <w:i w:val="false"/>
          <w:color w:val="000000"/>
          <w:sz w:val="22"/>
        </w:rPr>
        <w:t xml:space="preserve">(8A,17A)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Notices shall be served by first-class mail, unless otherwise required by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 xml:space="preserve">Notices of hearing shall contain the information required by Iowa Code subsection </w:t>
      </w:r>
      <w:hyperlink r:id="rId20">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the following information and any additional information required by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department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 (e.g., an administrative law judge from the department of inspections and appeals, or the classification appeal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color w:val="000000"/>
          <w:sz w:val="22"/>
        </w:rPr>
        <w:t xml:space="preserve">Transmission of contested cases. </w:t>
      </w:r>
      <w:r>
        <w:rPr>
          <w:rFonts w:ascii="Times New Roman" w:hAnsi="Times New Roman"/>
          <w:b w:val="false"/>
          <w:i w:val="false"/>
          <w:color w:val="000000"/>
          <w:sz w:val="22"/>
        </w:rPr>
        <w:t>In every proceeding filed by the department with the division, the department shall complete a transmittal form. The following information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transmitting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contact person in the transmitting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or title of the proceeding, which may include a file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department docket or reference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citation to the jurisdictional authority of the department regarding the matter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anticipated special features or requirements that may affect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hearing should be held in person or by telephone or video conference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special legal or technical expertise needed to resolve the issues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parties and their attorneys or other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the request for a contested case hearing was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statement of the issues involved and a reference to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mandatory time limits that apply to the processing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earliest appropriate hearing date;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Whether a petition or answer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color w:val="000000"/>
          <w:sz w:val="22"/>
        </w:rPr>
        <w:t xml:space="preserve">Issuance of the hearing notice. </w:t>
      </w:r>
      <w:r>
        <w:rPr>
          <w:rFonts w:ascii="Times New Roman" w:hAnsi="Times New Roman"/>
          <w:b w:val="false"/>
          <w:i w:val="false"/>
          <w:color w:val="000000"/>
          <w:sz w:val="22"/>
        </w:rPr>
        <w:t>When a case is transmitted by the department to the division for hearing, the division shall issue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color w:val="000000"/>
          <w:sz w:val="22"/>
        </w:rPr>
        <w:t xml:space="preserve">Attachments. </w:t>
      </w:r>
      <w:r>
        <w:rPr>
          <w:rFonts w:ascii="Times New Roman" w:hAnsi="Times New Roman"/>
          <w:b w:val="false"/>
          <w:i w:val="false"/>
          <w:color w:val="000000"/>
          <w:sz w:val="22"/>
        </w:rPr>
        <w:t>The following documents shall be attached to the completed transmittal form when it is sent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document showing the department action in controversy;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any document requesting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w:t>
      </w:r>
      <w:r>
        <w:rPr>
          <w:rFonts w:ascii="Times New Roman" w:hAnsi="Times New Roman"/>
          <w:b w:val="false"/>
          <w:i w:val="false"/>
          <w:color w:val="000000"/>
          <w:sz w:val="22"/>
        </w:rPr>
        <w:t> </w:t>
      </w:r>
      <w:r>
        <w:rPr>
          <w:rFonts w:ascii="Times New Roman" w:hAnsi="Times New Roman"/>
          <w:b w:val="false"/>
          <w:i/>
          <w:color w:val="000000"/>
          <w:sz w:val="22"/>
        </w:rPr>
        <w:t xml:space="preserve">Receipt. </w:t>
      </w:r>
      <w:r>
        <w:rPr>
          <w:rFonts w:ascii="Times New Roman" w:hAnsi="Times New Roman"/>
          <w:b w:val="false"/>
          <w:i w:val="false"/>
          <w:color w:val="000000"/>
          <w:sz w:val="22"/>
        </w:rPr>
        <w:t>When a properly transmitted case is received, it is marked with the date of receipt by the division. An identifying number shall be assigned to each contested case upon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division shall promptly schedule hearings for the department. The availability of an administrative law judge and any special circumstances shall be considered.</w:t>
      </w:r>
    </w:p>
    <w:p>
      <w:pPr>
        <w:spacing w:before="0" w:after="0"/>
        <w:ind w:left="120"/>
        <w:jc w:val="both"/>
      </w:pPr>
      <w:r>
        <w:rPr>
          <w:rFonts w:ascii="Times New Roman" w:hAnsi="Times New Roman"/>
          <w:b/>
          <w:i w:val="false"/>
          <w:color w:val="000000"/>
          <w:sz w:val="22"/>
        </w:rPr>
        <w:t>11—7.6</w:t>
      </w:r>
      <w:r>
        <w:rPr>
          <w:rFonts w:ascii="Times New Roman" w:hAnsi="Times New Roman"/>
          <w:b/>
          <w:i w:val="false"/>
          <w:color w:val="000000"/>
          <w:sz w:val="22"/>
        </w:rPr>
        <w:t xml:space="preserve">(8A,17A)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shall have the following technical expertise unless waived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 to practice law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Three years’ experience as an administrative law judge;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hearing related to procurement, knowledge of contract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by law, all rulings by an administrative law judge acting as presiding officer are subject to appeal to the department. A party must seek any available intra-agency appeal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the director, or the director’s designee, when reviewing a proposed decision upon intra-agency appeal, shall have the powers of and shall comply with the provisions of this chapter which apply to presiding officers.</w:t>
      </w:r>
    </w:p>
    <w:p>
      <w:pPr>
        <w:spacing w:before="210" w:after="0"/>
        <w:ind w:left="120"/>
        <w:jc w:val="both"/>
      </w:pPr>
      <w:r>
        <w:rPr>
          <w:rFonts w:ascii="Times New Roman" w:hAnsi="Times New Roman"/>
          <w:b/>
          <w:i w:val="false"/>
          <w:color w:val="000000"/>
          <w:sz w:val="22"/>
        </w:rPr>
        <w:t>11—7.7</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 xml:space="preserve">Unless otherwise precluded by law, the parties in a contested case proceeding may waive any provision of this chapter pursuant to Iowa Code section </w:t>
      </w:r>
      <w:hyperlink r:id="rId21">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However, the department in its discretion may refuse to give effect to such a waiver when it deems the waiver to be inconsistent with the public interest.</w:t>
      </w:r>
    </w:p>
    <w:p>
      <w:pPr>
        <w:spacing w:before="210" w:after="0"/>
        <w:ind w:left="120"/>
        <w:jc w:val="both"/>
      </w:pPr>
      <w:r>
        <w:rPr>
          <w:rFonts w:ascii="Times New Roman" w:hAnsi="Times New Roman"/>
          <w:b/>
          <w:i w:val="false"/>
          <w:color w:val="000000"/>
          <w:sz w:val="22"/>
        </w:rPr>
        <w:t>11—7.8</w:t>
      </w:r>
      <w:r>
        <w:rPr>
          <w:rFonts w:ascii="Times New Roman" w:hAnsi="Times New Roman"/>
          <w:b/>
          <w:i w:val="false"/>
          <w:color w:val="000000"/>
          <w:sz w:val="22"/>
        </w:rPr>
        <w:t xml:space="preserve">(8A,17A) </w:t>
      </w:r>
      <w:r>
        <w:rPr>
          <w:rFonts w:ascii="Times New Roman" w:hAnsi="Times New Roman"/>
          <w:b/>
          <w:i w:val="false"/>
          <w:color w:val="000000"/>
          <w:sz w:val="22"/>
        </w:rPr>
        <w:t xml:space="preserve">Telephone/video proceedings. </w:t>
      </w:r>
      <w:r>
        <w:rPr>
          <w:rFonts w:ascii="Times New Roman" w:hAnsi="Times New Roman"/>
          <w:b w:val="false"/>
          <w:i w:val="false"/>
          <w:color w:val="000000"/>
          <w:sz w:val="22"/>
        </w:rPr>
        <w:t>A prehearing conference or a hearing may be held by telephone or video conference call pursuant to a notice of hearing or an order of the presiding officer. The presiding officer shall determine the location of the parties and witnesses in telephone or video hearings. The convenience of the witnesses or parties, as well as the nature of the case, shall be considered when the location is chosen.</w:t>
      </w:r>
    </w:p>
    <w:p>
      <w:pPr>
        <w:spacing w:before="0" w:after="0"/>
        <w:ind w:left="120"/>
        <w:jc w:val="both"/>
      </w:pPr>
      <w:r>
        <w:rPr>
          <w:rFonts w:ascii="Times New Roman" w:hAnsi="Times New Roman"/>
          <w:b/>
          <w:i w:val="false"/>
          <w:color w:val="000000"/>
          <w:sz w:val="22"/>
        </w:rPr>
        <w:t>11—7.9</w:t>
      </w:r>
      <w:r>
        <w:rPr>
          <w:rFonts w:ascii="Times New Roman" w:hAnsi="Times New Roman"/>
          <w:b/>
          <w:i w:val="false"/>
          <w:color w:val="000000"/>
          <w:sz w:val="22"/>
        </w:rPr>
        <w:t xml:space="preserve">(8A,17A)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department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subsection </w:t>
      </w:r>
      <w:hyperlink r:id="rId22">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subrules 7.9(3)</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7.23(3)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w:t>
      </w:r>
      <w:hyperlink r:id="rId25">
        <w:r>
          <w:rPr>
            <w:rStyle w:val="Hyperlink"/>
            <w:rFonts w:ascii="Times New Roman" w:hAnsi="Times New Roman"/>
            <w:b w:val="false"/>
            <w:i w:val="false"/>
            <w:color w:val="000000"/>
            <w:sz w:val="22"/>
          </w:rPr>
          <w:t>subrule 7.9(1)</w:t>
        </w:r>
      </w:hyperlink>
      <w:r>
        <w:rPr>
          <w:rFonts w:ascii="Times New Roman" w:hAnsi="Times New Roman"/>
          <w:b w:val="false"/>
          <w:i w:val="false"/>
          <w:color w:val="000000"/>
          <w:sz w:val="22"/>
        </w:rPr>
        <w:t xml:space="preserve">, the party shall file a motion supported by an affidavit pursuant to Iowa Code subsection </w:t>
      </w:r>
      <w:hyperlink r:id="rId26">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w:t>
      </w:r>
      <w:hyperlink r:id="rId27">
        <w:r>
          <w:rPr>
            <w:rStyle w:val="Hyperlink"/>
            <w:rFonts w:ascii="Times New Roman" w:hAnsi="Times New Roman"/>
            <w:b w:val="false"/>
            <w:i w:val="false"/>
            <w:color w:val="000000"/>
            <w:sz w:val="22"/>
          </w:rPr>
          <w:t>rule 11—7.25(8A,17A)</w:t>
        </w:r>
      </w:hyperlink>
      <w:r>
        <w:rPr>
          <w:rFonts w:ascii="Times New Roman" w:hAnsi="Times New Roman"/>
          <w:b w:val="false"/>
          <w:i w:val="false"/>
          <w:color w:val="000000"/>
          <w:sz w:val="22"/>
        </w:rPr>
        <w:t xml:space="preserve"> and seek a stay under </w:t>
      </w:r>
      <w:hyperlink r:id="rId28">
        <w:r>
          <w:rPr>
            <w:rStyle w:val="Hyperlink"/>
            <w:rFonts w:ascii="Times New Roman" w:hAnsi="Times New Roman"/>
            <w:b w:val="false"/>
            <w:i w:val="false"/>
            <w:color w:val="000000"/>
            <w:sz w:val="22"/>
          </w:rPr>
          <w:t>rule 11—7.29(8A,17A)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11—7.10</w:t>
      </w:r>
      <w:r>
        <w:rPr>
          <w:rFonts w:ascii="Times New Roman" w:hAnsi="Times New Roman"/>
          <w:b/>
          <w:i w:val="false"/>
          <w:color w:val="000000"/>
          <w:sz w:val="22"/>
        </w:rPr>
        <w:t xml:space="preserve">(8A,17A)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upon motion by any party or the presiding officer’s own motion,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parties to those proceedings.</w:t>
      </w:r>
    </w:p>
    <w:p>
      <w:pPr>
        <w:spacing w:before="0" w:after="0"/>
        <w:ind w:left="120"/>
        <w:jc w:val="both"/>
      </w:pPr>
      <w:r>
        <w:rPr>
          <w:rFonts w:ascii="Times New Roman" w:hAnsi="Times New Roman"/>
          <w:b w:val="false"/>
          <w:i w:val="false"/>
          <w:color w:val="000000"/>
          <w:sz w:val="22"/>
        </w:rPr>
        <w:t>At any time prior to the hearing, any party may on motion request that the matters not be consolidated, and the motion shall be granted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upon motion by any party or upon the presiding officer’s own motion, for good cause shown, order any proceeding or portion thereof severed.</w:t>
      </w:r>
    </w:p>
    <w:p>
      <w:pPr>
        <w:spacing w:before="0" w:after="0"/>
        <w:ind w:left="120"/>
        <w:jc w:val="both"/>
      </w:pPr>
      <w:r>
        <w:rPr>
          <w:rFonts w:ascii="Times New Roman" w:hAnsi="Times New Roman"/>
          <w:b/>
          <w:i w:val="false"/>
          <w:color w:val="000000"/>
          <w:sz w:val="22"/>
        </w:rPr>
        <w:t>11—7.11</w:t>
      </w:r>
      <w:r>
        <w:rPr>
          <w:rFonts w:ascii="Times New Roman" w:hAnsi="Times New Roman"/>
          <w:b/>
          <w:i w:val="false"/>
          <w:color w:val="000000"/>
          <w:sz w:val="22"/>
        </w:rPr>
        <w:t xml:space="preserve">(8A,17A)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 When an action of the department is appealed and pleadings are required under </w:t>
      </w:r>
      <w:hyperlink r:id="rId29">
        <w:r>
          <w:rPr>
            <w:rStyle w:val="Hyperlink"/>
            <w:rFonts w:ascii="Times New Roman" w:hAnsi="Times New Roman"/>
            <w:b w:val="false"/>
            <w:i w:val="false"/>
            <w:color w:val="000000"/>
            <w:sz w:val="22"/>
          </w:rPr>
          <w:t>subrule 7.11(1)</w:t>
        </w:r>
      </w:hyperlink>
      <w:r>
        <w:rPr>
          <w:rFonts w:ascii="Times New Roman" w:hAnsi="Times New Roman"/>
          <w:b w:val="false"/>
          <w:i w:val="false"/>
          <w:color w:val="000000"/>
          <w:sz w:val="22"/>
        </w:rPr>
        <w:t>, the aggrieved party shall file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required petition shall be filed within 20 days of delivery of the notice of hearing,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val="false"/>
          <w:color w:val="000000"/>
          <w:sz w:val="22"/>
        </w:rPr>
        <w:t>Answer. If pleadings are required, the answer shall be filed within 20 days of service of the petition or notice of hearing,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may move to dismiss or apply for a more definite, detailed statement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answer shall show on whose behalf it is filed and specifically admit, deny or otherwise answer all material allegations of the pleading to which it responds. It shall state any facts deemed to show an affirmative defense and may contain as many defenses as the pleader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answer shall state the name, address and telephone number of the person filing the answer and of the attorney representing that person,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allegation in the petition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val="false"/>
          <w:color w:val="000000"/>
          <w:sz w:val="22"/>
        </w:rPr>
        <w:t>Amendment. Any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i w:val="false"/>
          <w:color w:val="000000"/>
          <w:sz w:val="22"/>
        </w:rPr>
        <w:t>11—7.12</w:t>
      </w:r>
      <w:r>
        <w:rPr>
          <w:rFonts w:ascii="Times New Roman" w:hAnsi="Times New Roman"/>
          <w:b/>
          <w:i w:val="false"/>
          <w:color w:val="000000"/>
          <w:sz w:val="22"/>
        </w:rPr>
        <w:t xml:space="preserve">(8A,17A)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color w:val="000000"/>
          <w:sz w:val="22"/>
        </w:rPr>
        <w:t xml:space="preserve">When service is required. </w:t>
      </w:r>
      <w:r>
        <w:rPr>
          <w:rFonts w:ascii="Times New Roman" w:hAnsi="Times New Roman"/>
          <w:b w:val="false"/>
          <w:i w:val="false"/>
          <w:color w:val="000000"/>
          <w:sz w:val="22"/>
        </w:rPr>
        <w:t xml:space="preserve">Except where otherwise specifically authorized by law, every pleading, motion, document or other paper filed in the contested case proceeding and every paper relating to discovery in the proceeding shall be served upon each of the parties to the proceeding, including the originating agency. Except for the notice of the hearing and an application for rehearing as provided in Iowa Code subsection </w:t>
      </w:r>
      <w:hyperlink r:id="rId30">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first-class mail is rebuttably presumed to be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a matter has been assigned to the division, and until a proposed decision is issued, documents shall be filed with the division, rather than the originating agency. All papers filed after the notice is issued that are required to be served upon a party shall be filed simultaneously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notice of hearing, when a matter has not been assigned to the department of inspections and appeals for hearing, all pleadings, motions, documents or other papers in a contested case proceeding shall be filed with the Department of Administrative Services, Hoover State Office Building, Third Floor, Des Moines, Iowa 50319. All pleadings, motions, documents or other papers that are required to be served upon a party shall be filed simultaneously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where otherwise provided by law, a document is deemed filed at the time it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Delivered to the division of administrative hearings pursuant to </w:t>
      </w:r>
      <w:hyperlink r:id="rId31">
        <w:r>
          <w:rPr>
            <w:rStyle w:val="Hyperlink"/>
            <w:rFonts w:ascii="Times New Roman" w:hAnsi="Times New Roman"/>
            <w:b w:val="false"/>
            <w:i w:val="false"/>
            <w:color w:val="000000"/>
            <w:sz w:val="22"/>
          </w:rPr>
          <w:t>subrule 7.12(3)</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or to the department of administrative services pursuant to </w:t>
      </w:r>
      <w:hyperlink r:id="rId32">
        <w:r>
          <w:rPr>
            <w:rStyle w:val="Hyperlink"/>
            <w:rFonts w:ascii="Times New Roman" w:hAnsi="Times New Roman"/>
            <w:b w:val="false"/>
            <w:i w:val="false"/>
            <w:color w:val="000000"/>
            <w:sz w:val="22"/>
          </w:rPr>
          <w:t>subrule 7.12(3)</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r>
        <w:rPr>
          <w:rFonts w:ascii="Times New Roman" w:hAnsi="Times New Roman"/>
          <w:b w:val="false"/>
          <w:i w:val="false"/>
          <w:color w:val="000000"/>
          <w:sz w:val="22"/>
        </w:rPr>
        <w:t xml:space="preserve"> and date-stamped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Delivered to an established courier service for immediate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Mailed by first-class mail or by state interoffice mail so long as there is adequate proof of mailing;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Sent by facsimile transmission (fax) as provided in </w:t>
      </w:r>
      <w:hyperlink r:id="rId33">
        <w:r>
          <w:rPr>
            <w:rStyle w:val="Hyperlink"/>
            <w:rFonts w:ascii="Times New Roman" w:hAnsi="Times New Roman"/>
            <w:b w:val="false"/>
            <w:i w:val="false"/>
            <w:color w:val="000000"/>
            <w:sz w:val="22"/>
          </w:rPr>
          <w:t>subrule 7.12(4)</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documents filed with the division or the department pursuant to these rules, except a person’s request or demand for a contested case proceeding (see Iowa Code subsection </w:t>
      </w:r>
      <w:hyperlink r:id="rId34">
        <w:r>
          <w:rPr>
            <w:rStyle w:val="Hyperlink"/>
            <w:rFonts w:ascii="Times New Roman" w:hAnsi="Times New Roman"/>
            <w:b w:val="false"/>
            <w:i w:val="false"/>
            <w:color w:val="000000"/>
            <w:sz w:val="22"/>
          </w:rPr>
          <w:t>17A.12(9)</w:t>
        </w:r>
      </w:hyperlink>
      <w:r>
        <w:rPr>
          <w:rFonts w:ascii="Times New Roman" w:hAnsi="Times New Roman"/>
          <w:b w:val="false"/>
          <w:i w:val="false"/>
          <w:color w:val="000000"/>
          <w:sz w:val="22"/>
        </w:rPr>
        <w:t>), may be filed by facsimile transmission (fax). A copy shall be filed for each case involved. A document filed by fax is presumed to be an accurate reproduction of the original. If a document filed by fax is illegible, a legible copy may be substituted and the date of filing shall be the date the illegible copy was received. The date of filing by fax shall be the date the document is received by the division or the department. The receiving office will not provide a mailed file-stamped copy of documents filed by fax.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Adequate proof of mailing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tbl>
      <w:tblPr>
        <w:tblW w:w="5000" w:type="pct"/>
        <w:tblCellSpacing w:w="0" w:type="auto"/>
        <w:tblBorders>
          <w:top w:val="none"/>
          <w:left w:val="none"/>
          <w:bottom w:val="none"/>
          <w:right w:val="none"/>
          <w:insideH w:val="none"/>
          <w:insideV w:val="none"/>
        </w:tblBorders>
        <w:tblLayout w:type="fixed"/>
      </w:tblPr>
      <w:tblGrid>
        <w:gridCol w:w="1133"/>
        <w:gridCol w:w="3619"/>
        <w:gridCol w:w="2019"/>
        <w:gridCol w:w="4419"/>
      </w:tblGrid>
      <w:tr>
        <w:trPr>
          <w:trHeight w:val="1440" w:hRule="atLeast"/>
        </w:trPr>
        <w:tc>
          <w:tcPr>
            <w:tcW w:w="11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 certify under penalty of perjury and pursuant to the laws of Iowa that, on (date of mailing), I mailed copies of (describe document) addressed to the Department of Administrative Services, Hoover State Office Building, Third Floor, Des Moines, Iowa 50319, and to the names and addresses of the parties listed below by depositing the same in (a United States post office mailbox with correct postage properly affixed) or (state interoffice mail).</w:t>
            </w:r>
          </w:p>
        </w:tc>
      </w:tr>
      <w:tr>
        <w:trPr>
          <w:trHeight w:val="270" w:hRule="atLeast"/>
        </w:trPr>
        <w:tc>
          <w:tcPr>
            <w:tcW w:w="11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19" w:type="dxa"/>
            <w:tcBorders/>
            <w:tcMar>
              <w:top w:w="30" w:type="dxa"/>
              <w:left w:w="30" w:type="dxa"/>
              <w:bottom w:w="15" w:type="dxa"/>
              <w:right w:w="30" w:type="dxa"/>
            </w:tcMar>
            <w:vAlign w:val="top"/>
          </w:tcPr>
          <w:p>
            <w:pPr>
              <w:spacing w:before="0" w:after="0"/>
              <w:ind w:left="0"/>
              <w:jc w:val="left"/>
            </w:pPr>
          </w:p>
        </w:tc>
        <w:tc>
          <w:tcPr>
            <w:tcW w:w="2019" w:type="dxa"/>
            <w:tcBorders/>
            <w:tcMar>
              <w:top w:w="30" w:type="dxa"/>
              <w:left w:w="30" w:type="dxa"/>
              <w:bottom w:w="15" w:type="dxa"/>
              <w:right w:w="30" w:type="dxa"/>
            </w:tcMar>
            <w:vAlign w:val="top"/>
          </w:tcPr>
          <w:p>
            <w:pPr>
              <w:spacing w:before="0" w:after="0"/>
              <w:ind w:left="0"/>
              <w:jc w:val="left"/>
            </w:pPr>
          </w:p>
        </w:tc>
      </w:tr>
      <w:tr>
        <w:trPr>
          <w:trHeight w:val="270" w:hRule="atLeast"/>
        </w:trPr>
        <w:tc>
          <w:tcPr>
            <w:tcW w:w="11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c>
          <w:tcPr>
            <w:tcW w:w="20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11—7.13</w:t>
      </w:r>
      <w:r>
        <w:rPr>
          <w:rFonts w:ascii="Times New Roman" w:hAnsi="Times New Roman"/>
          <w:b/>
          <w:i w:val="false"/>
          <w:color w:val="000000"/>
          <w:sz w:val="22"/>
        </w:rPr>
        <w:t xml:space="preserve">(8A,17A)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5">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discovery procedures applicable in civil actions are applicable in contested cases. Unless lengthened or shortened by rules of the department or by a ruling by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made a good faith attempt to resolve the issues raised by the motion with the opposing party. Motions in regard to discovery shall be ruled on by the presiding officer. Opposing parties shall be afforded the opportunity to respond within ten days of the filing of the motion unless the time is shortened as provided in </w:t>
      </w:r>
      <w:hyperlink r:id="rId36">
        <w:r>
          <w:rPr>
            <w:rStyle w:val="Hyperlink"/>
            <w:rFonts w:ascii="Times New Roman" w:hAnsi="Times New Roman"/>
            <w:b w:val="false"/>
            <w:i w:val="false"/>
            <w:color w:val="000000"/>
            <w:sz w:val="22"/>
          </w:rPr>
          <w:t>subrule 7.13(1)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i w:val="false"/>
          <w:color w:val="000000"/>
          <w:sz w:val="22"/>
        </w:rPr>
        <w:t>11—7.14</w:t>
      </w:r>
      <w:r>
        <w:rPr>
          <w:rFonts w:ascii="Times New Roman" w:hAnsi="Times New Roman"/>
          <w:b/>
          <w:i w:val="false"/>
          <w:color w:val="000000"/>
          <w:sz w:val="22"/>
        </w:rPr>
        <w:t xml:space="preserve">(8A,17A)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subsection </w:t>
      </w:r>
      <w:hyperlink r:id="rId37">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 department subpoena shall be issued to a party on request unless </w:t>
      </w:r>
      <w:hyperlink r:id="rId38">
        <w:r>
          <w:rPr>
            <w:rStyle w:val="Hyperlink"/>
            <w:rFonts w:ascii="Times New Roman" w:hAnsi="Times New Roman"/>
            <w:b w:val="false"/>
            <w:i w:val="false"/>
            <w:color w:val="000000"/>
            <w:sz w:val="22"/>
          </w:rPr>
          <w:t>subrule 7.14(1)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“d,”</w:t>
      </w:r>
      <w:r>
        <w:rPr>
          <w:rFonts w:ascii="Times New Roman" w:hAnsi="Times New Roman"/>
          <w:b w:val="false"/>
          <w:i w:val="false"/>
          <w:color w:val="000000"/>
          <w:sz w:val="22"/>
        </w:rPr>
        <w:t xml:space="preserve"> applies. A request may be either oral or in writing. In the absence of good cause for permitting later action, a written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authorized by law, a presiding officer may issue a subpoena on the presiding officer’s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there is reasonable ground to believe a subpoena is requested for the purpose of harassment, or that the subpoena is irrelevant, the presiding officer may refuse to issue the subpoena, or may require the requesting party to provide a statement of testimony expected to be elicited from the subpoenaed witness and a showing of relevancy. If the presiding officer refuses to issue a subpoena, the presiding officer shall provide, upon request, a written statement of the ground for refusal. A party to whom a refusal is issued may obtain a prompt hearing regarding the refusal by filing a written request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subpoena may be quashed or modified upon motion for any lawful ground in accordance with Iowa Rule of Civil Procedure 1.1701.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motion to quash or modify a subpoena shall be served on all parties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motion shall be set for argument promptly.</w:t>
      </w:r>
    </w:p>
    <w:p>
      <w:pPr>
        <w:spacing w:before="0" w:after="0"/>
        <w:ind w:left="120"/>
        <w:jc w:val="both"/>
      </w:pPr>
      <w:r>
        <w:rPr>
          <w:rFonts w:ascii="Times New Roman" w:hAnsi="Times New Roman"/>
          <w:b/>
          <w:i w:val="false"/>
          <w:color w:val="000000"/>
          <w:sz w:val="22"/>
        </w:rPr>
        <w:t>11—7.15</w:t>
      </w:r>
      <w:r>
        <w:rPr>
          <w:rFonts w:ascii="Times New Roman" w:hAnsi="Times New Roman"/>
          <w:b/>
          <w:i w:val="false"/>
          <w:color w:val="000000"/>
          <w:sz w:val="22"/>
        </w:rPr>
        <w:t xml:space="preserve">(8A,17A)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No technical form is required for motions. Prehearing motions, however, must be written, state the grounds for relief and state the relief sought. Any motion for summary judgment shall be filed in compliance with the requirements of Iowa Rule of Civil Procedure 1.981.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resistance or response to a motion within 15 days after the motion is served, unless the time period is extended or shortened by rules of the department or by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 on the request of any party or on the presiding officer’s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val="false"/>
          <w:color w:val="000000"/>
          <w:sz w:val="22"/>
        </w:rPr>
        <w:t>Except for good cause, all motions pertaining to the hearing must be filed and served at least 10 days prior to the hearing date unless the time period is shortened or lengthened by rules of the department or by the presiding officer.</w:t>
      </w:r>
    </w:p>
    <w:p>
      <w:pPr>
        <w:spacing w:before="0" w:after="0"/>
        <w:ind w:left="120"/>
        <w:jc w:val="both"/>
      </w:pPr>
      <w:r>
        <w:rPr>
          <w:rFonts w:ascii="Times New Roman" w:hAnsi="Times New Roman"/>
          <w:b/>
          <w:i w:val="false"/>
          <w:color w:val="000000"/>
          <w:sz w:val="22"/>
        </w:rPr>
        <w:t>11—7.16</w:t>
      </w:r>
      <w:r>
        <w:rPr>
          <w:rFonts w:ascii="Times New Roman" w:hAnsi="Times New Roman"/>
          <w:b/>
          <w:i w:val="false"/>
          <w:color w:val="000000"/>
          <w:sz w:val="22"/>
        </w:rPr>
        <w:t xml:space="preserve">(8A,17A)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request for prehearing conference or an order for prehearing conference on the presiding officer’s own motion shall be filed in writing and served on all parties of record not less than ten days prior to the hearing date. A prehearing conference shall be scheduled not less than three business days prior to the hearing date.</w:t>
      </w:r>
    </w:p>
    <w:p>
      <w:pPr>
        <w:spacing w:before="0" w:after="0"/>
        <w:ind w:left="120"/>
        <w:jc w:val="both"/>
      </w:pPr>
      <w:r>
        <w:rPr>
          <w:rFonts w:ascii="Times New Roman" w:hAnsi="Times New Roman"/>
          <w:b w:val="false"/>
          <w:i w:val="false"/>
          <w:color w:val="000000"/>
          <w:sz w:val="22"/>
        </w:rPr>
        <w:t>The presiding officer shall give notice of the prehearing conference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witnesses who the party reasonably anticipates will testify at the hearing. Witnesses not listed may be excluded from testifying.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that the party reasonably anticipates will be introduced at the hearing. Exhibits not listed, except rebuttal exhibits, may be excluded from admission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w:t>
      </w:r>
      <w:hyperlink r:id="rId39">
        <w:r>
          <w:rPr>
            <w:rStyle w:val="Hyperlink"/>
            <w:rFonts w:ascii="Times New Roman" w:hAnsi="Times New Roman"/>
            <w:b w:val="false"/>
            <w:i w:val="false"/>
            <w:color w:val="000000"/>
            <w:sz w:val="22"/>
          </w:rPr>
          <w:t>subrule 7.16(2)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Identify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precluded by statute, enter into stipulations for waiver of the provisions of Iowa Code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allowed by Iowa Code section </w:t>
      </w:r>
      <w:hyperlink r:id="rId41">
        <w:r>
          <w:rPr>
            <w:rStyle w:val="Hyperlink"/>
            <w:rFonts w:ascii="Times New Roman" w:hAnsi="Times New Roman"/>
            <w:b w:val="false"/>
            <w:i w:val="false"/>
            <w:color w:val="000000"/>
            <w:sz w:val="22"/>
          </w:rPr>
          <w:t>17A.10(2)</w:t>
        </w:r>
      </w:hyperlink>
      <w:r>
        <w:rPr>
          <w:rFonts w:ascii="Times New Roman" w:hAnsi="Times New Roman"/>
          <w:b w:val="false"/>
          <w:i w:val="false"/>
          <w:color w:val="000000"/>
          <w:sz w:val="22"/>
        </w:rPr>
        <w:t xml:space="preserve"> or waiver of department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val="false"/>
          <w:color w:val="000000"/>
          <w:sz w:val="22"/>
        </w:rPr>
        <w:t>A prehearing conference shall be conducted by telephone or video conference call unless otherwise ordered. Parties shall exchange and receive witness and exhibit lists prior to a telephone or video prehearing conference call.</w:t>
      </w:r>
    </w:p>
    <w:p>
      <w:pPr>
        <w:spacing w:before="0" w:after="0"/>
        <w:ind w:left="120"/>
        <w:jc w:val="both"/>
      </w:pPr>
      <w:r>
        <w:rPr>
          <w:rFonts w:ascii="Times New Roman" w:hAnsi="Times New Roman"/>
          <w:b/>
          <w:i w:val="false"/>
          <w:color w:val="000000"/>
          <w:sz w:val="22"/>
        </w:rPr>
        <w:t>11—7.17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 for continuance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before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requesting party’s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waives the requirement for a written motion, an oral application for continuance may be made. A written application shall be submitted no later than five days after the oral request. The presiding officer may waive the requirement for a written application. No application for continuance will be made or granted ex parte without notice except in an emergency where notice is not feasible. The department may waive notice of requests for a case or a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val="false"/>
          <w:color w:val="000000"/>
          <w:sz w:val="22"/>
        </w:rPr>
        <w:t>Except where otherwise provided, a continuance may be granted at the discretion of the presiding officer. The presiding officer may consider, in addition to the grounds stated in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prior continuances;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Existence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Objection to the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or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applicable state or federal statutes or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 for continuance.</w:t>
      </w:r>
    </w:p>
    <w:p>
      <w:pPr>
        <w:spacing w:before="210" w:after="0"/>
        <w:ind w:left="120"/>
        <w:jc w:val="both"/>
      </w:pPr>
      <w:r>
        <w:rPr>
          <w:rFonts w:ascii="Times New Roman" w:hAnsi="Times New Roman"/>
          <w:b/>
          <w:i w:val="false"/>
          <w:color w:val="000000"/>
          <w:sz w:val="22"/>
        </w:rPr>
        <w:t>11—7.18</w:t>
      </w:r>
      <w:r>
        <w:rPr>
          <w:rFonts w:ascii="Times New Roman" w:hAnsi="Times New Roman"/>
          <w:b/>
          <w:i w:val="false"/>
          <w:color w:val="000000"/>
          <w:sz w:val="22"/>
        </w:rPr>
        <w:t xml:space="preserve">(8A,17A) </w:t>
      </w:r>
      <w:r>
        <w:rPr>
          <w:rFonts w:ascii="Times New Roman" w:hAnsi="Times New Roman"/>
          <w:b/>
          <w:i w:val="false"/>
          <w:color w:val="000000"/>
          <w:sz w:val="22"/>
        </w:rPr>
        <w:t xml:space="preserve">Withdrawals. </w:t>
      </w:r>
      <w:r>
        <w:rPr>
          <w:rFonts w:ascii="Times New Roman" w:hAnsi="Times New Roman"/>
          <w:b w:val="false"/>
          <w:i w:val="false"/>
          <w:color w:val="000000"/>
          <w:sz w:val="22"/>
        </w:rPr>
        <w:t>The party that requested an evidentiary hearing regarding department action may withdraw prior to the hearing only in accordance with department rules. Requests for withdrawal may be oral or written. If the request is oral, the presiding officer may require the party to submit a written request after the oral request. Unless otherwise provided, a withdrawal shall be with prejudice.</w:t>
      </w:r>
    </w:p>
    <w:p>
      <w:pPr>
        <w:spacing w:before="0" w:after="0"/>
        <w:ind w:left="120"/>
        <w:jc w:val="both"/>
      </w:pPr>
      <w:r>
        <w:rPr>
          <w:rFonts w:ascii="Times New Roman" w:hAnsi="Times New Roman"/>
          <w:b/>
          <w:i w:val="false"/>
          <w:color w:val="000000"/>
          <w:sz w:val="22"/>
        </w:rPr>
        <w:t>11—7.19</w:t>
      </w:r>
      <w:r>
        <w:rPr>
          <w:rFonts w:ascii="Times New Roman" w:hAnsi="Times New Roman"/>
          <w:b/>
          <w:i w:val="false"/>
          <w:color w:val="000000"/>
          <w:sz w:val="22"/>
        </w:rPr>
        <w:t xml:space="preserve">(8A,17A)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shall be served on all parties and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disposition of the proceeding. Unless otherwise ordered, a motion for leave to intervene shall be filed before the prehearing conference, if one is held, or at least 20 days before the date scheduled for hearing. Any later motion must contain a statement of good cause for the failure to file in a timely manner. The intervenor shall be bound by any agreement, arrangement or other matter previously raised in the case. Requests by untimely intervenors for continuances that would delay the hearing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movant will be aggrieved or adversely affected by a final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interests of the movant are not being adequately represented by existing parties; or that the movant is otherwise entitled to intervene.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petitions and briefs of different parties whose interests are aligned with each other and limit the number of representatives allowed to participate in the proceedings. A person granted leave to intervene is a party to the proceeding. The order granting intervention may restrict the issues to be raised or otherwise condition the intervenor’s participation in the proceeding.</w:t>
      </w:r>
    </w:p>
    <w:p>
      <w:pPr>
        <w:spacing w:before="0" w:after="0"/>
        <w:ind w:left="120"/>
        <w:jc w:val="both"/>
      </w:pPr>
      <w:r>
        <w:rPr>
          <w:rFonts w:ascii="Times New Roman" w:hAnsi="Times New Roman"/>
          <w:b/>
          <w:i w:val="false"/>
          <w:color w:val="000000"/>
          <w:sz w:val="22"/>
        </w:rPr>
        <w:t>11—7.20</w:t>
      </w:r>
      <w:r>
        <w:rPr>
          <w:rFonts w:ascii="Times New Roman" w:hAnsi="Times New Roman"/>
          <w:b/>
          <w:i w:val="false"/>
          <w:color w:val="000000"/>
          <w:sz w:val="22"/>
        </w:rPr>
        <w:t xml:space="preserve">(8A,17A)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w:t>
      </w:r>
      <w:r>
        <w:rPr>
          <w:rFonts w:ascii="Times New Roman" w:hAnsi="Times New Roman"/>
          <w:b w:val="false"/>
          <w:i w:val="false"/>
          <w:color w:val="000000"/>
          <w:sz w:val="22"/>
        </w:rPr>
        <w:t> </w:t>
      </w:r>
      <w:r>
        <w:rPr>
          <w:rFonts w:ascii="Times New Roman" w:hAnsi="Times New Roman"/>
          <w:b w:val="false"/>
          <w:i w:val="false"/>
          <w:color w:val="000000"/>
          <w:sz w:val="22"/>
        </w:rPr>
        <w:t>The appointed presiding officer in a contested case proceeding shall preside at the hearing and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Rule on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the parties to submit briefs;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Issue a proposed decision;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Issue orders and rulings to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7.20(2)</w:t>
      </w:r>
      <w:r>
        <w:rPr>
          <w:rFonts w:ascii="Times New Roman" w:hAnsi="Times New Roman"/>
          <w:b w:val="false"/>
          <w:i w:val="false"/>
          <w:color w:val="000000"/>
          <w:sz w:val="22"/>
        </w:rPr>
        <w:t> </w:t>
      </w:r>
      <w:r>
        <w:rPr>
          <w:rFonts w:ascii="Times New Roman" w:hAnsi="Times New Roman"/>
          <w:b w:val="false"/>
          <w:i w:val="false"/>
          <w:color w:val="000000"/>
          <w:sz w:val="22"/>
        </w:rPr>
        <w:t>All objections to procedures, admission of evidence or any other matter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w:t>
      </w:r>
      <w:r>
        <w:rPr>
          <w:rFonts w:ascii="Times New Roman" w:hAnsi="Times New Roman"/>
          <w:b w:val="false"/>
          <w:i w:val="false"/>
          <w:color w:val="000000"/>
          <w:sz w:val="22"/>
        </w:rPr>
        <w:t> </w:t>
      </w:r>
      <w:r>
        <w:rPr>
          <w:rFonts w:ascii="Times New Roman" w:hAnsi="Times New Roman"/>
          <w:b w:val="false"/>
          <w:i w:val="false"/>
          <w:color w:val="000000"/>
          <w:sz w:val="22"/>
        </w:rPr>
        <w:t>Parties in a contested case have the right to participate or to be represented in all hearings or prehearing conferences related to their case. Partnerships, corporations or associations may be represented by any member, officer, director or duly authorized agent.</w:t>
      </w:r>
    </w:p>
    <w:p>
      <w:pPr>
        <w:spacing w:before="0" w:after="0"/>
        <w:ind w:left="120"/>
        <w:jc w:val="both"/>
      </w:pPr>
      <w:r>
        <w:rPr>
          <w:rFonts w:ascii="Times New Roman" w:hAnsi="Times New Roman"/>
          <w:b w:val="false"/>
          <w:i w:val="false"/>
          <w:color w:val="000000"/>
          <w:sz w:val="22"/>
        </w:rPr>
        <w:t>Any party may be represented by an attorney or another person authorized by law. The cost of representation is the responsibility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w:t>
      </w:r>
      <w:r>
        <w:rPr>
          <w:rFonts w:ascii="Times New Roman" w:hAnsi="Times New Roman"/>
          <w:b w:val="false"/>
          <w:i w:val="false"/>
          <w:color w:val="000000"/>
          <w:sz w:val="22"/>
        </w:rPr>
        <w:t> </w:t>
      </w:r>
      <w:r>
        <w:rPr>
          <w:rFonts w:ascii="Times New Roman" w:hAnsi="Times New Roman"/>
          <w:b w:val="false"/>
          <w:i w:val="false"/>
          <w:color w:val="000000"/>
          <w:sz w:val="22"/>
        </w:rPr>
        <w:t>Parties in a contested case have the right to introduce evidence on points at issue, to cross-examine witnesses present at the hearing as necessary for a full and true disclosure of the facts, to present evidence in rebuttal, and to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 or disruptive.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witness shall be sworn or affirmed by the presiding officer or the court reporter, and be subject to examination and cross-examination. The presiding officer may limit questioning consistent with Iowa Code section </w:t>
      </w:r>
      <w:hyperlink r:id="rId42">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the authority to fully and fairly develop the record and may inquire into the matters at issue and shall receive in evidence the testimony of witnesses and any documents which are relevant and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shall be given the opportunity to present final arguments.</w:t>
      </w:r>
    </w:p>
    <w:p>
      <w:pPr>
        <w:spacing w:before="0" w:after="0"/>
        <w:ind w:left="120"/>
        <w:jc w:val="both"/>
      </w:pPr>
      <w:r>
        <w:rPr>
          <w:rFonts w:ascii="Times New Roman" w:hAnsi="Times New Roman"/>
          <w:b/>
          <w:i w:val="false"/>
          <w:color w:val="000000"/>
          <w:sz w:val="22"/>
        </w:rPr>
        <w:t>11—7.21</w:t>
      </w:r>
      <w:r>
        <w:rPr>
          <w:rFonts w:ascii="Times New Roman" w:hAnsi="Times New Roman"/>
          <w:b/>
          <w:i w:val="false"/>
          <w:color w:val="000000"/>
          <w:sz w:val="22"/>
        </w:rPr>
        <w:t xml:space="preserve">(8A,17A)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shall rule on admissibility of evidence in accordance with Iowa Code section </w:t>
      </w:r>
      <w:hyperlink r:id="rId43">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and may take official notice of facts pursuant to Iowa Code subsection </w:t>
      </w:r>
      <w:hyperlink r:id="rId44">
        <w:r>
          <w:rPr>
            <w:rStyle w:val="Hyperlink"/>
            <w:rFonts w:ascii="Times New Roman" w:hAnsi="Times New Roman"/>
            <w:b w:val="false"/>
            <w:i w:val="false"/>
            <w:color w:val="000000"/>
            <w:sz w:val="22"/>
          </w:rPr>
          <w:t>17A.14(4)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w:t>
      </w:r>
      <w:r>
        <w:rPr>
          <w:rFonts w:ascii="Times New Roman" w:hAnsi="Times New Roman"/>
          <w:b w:val="false"/>
          <w:i w:val="false"/>
          <w:color w:val="000000"/>
          <w:sz w:val="22"/>
        </w:rPr>
        <w:t> </w:t>
      </w:r>
      <w:r>
        <w:rPr>
          <w:rFonts w:ascii="Times New Roman" w:hAnsi="Times New Roman"/>
          <w:b w:val="false"/>
          <w:i w:val="false"/>
          <w:color w:val="000000"/>
          <w:sz w:val="22"/>
        </w:rPr>
        <w:t>Evidence shall be confined to the issues on which there has been fair notice prior to the hearing. The presiding officer may take testimony on a new issue if the parties waive their right to such notice or the presiding officer determines that good cause justifies expansion of the issues. If there is objection, the presiding officer may refuse to hear the new issue and may make a decision on the original issue in the notice, or may grant a continuance to allow the parties adequate time to amend pleadings and prepare their cases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The objecting party shall briefly state the grounds for the objection.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If the evidence excluded consists of a document or exhibits, it shall be marked as part of an offer of proof and inserted in the record.</w:t>
      </w:r>
    </w:p>
    <w:p>
      <w:pPr>
        <w:spacing w:before="0" w:after="0"/>
        <w:ind w:left="120"/>
        <w:jc w:val="both"/>
      </w:pPr>
      <w:r>
        <w:rPr>
          <w:rFonts w:ascii="Times New Roman" w:hAnsi="Times New Roman"/>
          <w:b/>
          <w:i w:val="false"/>
          <w:color w:val="000000"/>
          <w:sz w:val="22"/>
        </w:rPr>
        <w:t>11—7.22</w:t>
      </w:r>
      <w:r>
        <w:rPr>
          <w:rFonts w:ascii="Times New Roman" w:hAnsi="Times New Roman"/>
          <w:b/>
          <w:i w:val="false"/>
          <w:color w:val="000000"/>
          <w:sz w:val="22"/>
        </w:rPr>
        <w:t xml:space="preserve">(8A,17A)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in a contested case proceeding after proper service of notice, the presiding officer may, if no adjournment is granted, enter a default decision or proceed with the hearing and make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department action unless, within 15 days (unless another period of time is specifically required by statute or rule) after the date of notification or mailing of the decision, a motion to vacate is filed and served on all parties or an appeal of a decision on the merits is timely initiated within the time provided by </w:t>
      </w:r>
      <w:hyperlink r:id="rId45">
        <w:r>
          <w:rPr>
            <w:rStyle w:val="Hyperlink"/>
            <w:rFonts w:ascii="Times New Roman" w:hAnsi="Times New Roman"/>
            <w:b w:val="false"/>
            <w:i w:val="false"/>
            <w:color w:val="000000"/>
            <w:sz w:val="22"/>
          </w:rPr>
          <w:t>rule 11—7.27(8A,17A)</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w:t>
      </w:r>
      <w:hyperlink r:id="rId46">
        <w:r>
          <w:rPr>
            <w:rStyle w:val="Hyperlink"/>
            <w:rFonts w:ascii="Times New Roman" w:hAnsi="Times New Roman"/>
            <w:b w:val="false"/>
            <w:i w:val="false"/>
            <w:color w:val="000000"/>
            <w:sz w:val="22"/>
          </w:rPr>
          <w:t>rule 11—7.25(8A,17A)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w:t>
      </w:r>
      <w:hyperlink r:id="rId47">
        <w:r>
          <w:rPr>
            <w:rStyle w:val="Hyperlink"/>
            <w:rFonts w:ascii="Times New Roman" w:hAnsi="Times New Roman"/>
            <w:b w:val="false"/>
            <w:i w:val="false"/>
            <w:color w:val="000000"/>
            <w:sz w:val="22"/>
          </w:rPr>
          <w:t>rule 11—7.29(8A,17A)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11—7.23</w:t>
      </w:r>
      <w:r>
        <w:rPr>
          <w:rFonts w:ascii="Times New Roman" w:hAnsi="Times New Roman"/>
          <w:b/>
          <w:i w:val="false"/>
          <w:color w:val="000000"/>
          <w:sz w:val="22"/>
        </w:rPr>
        <w:t xml:space="preserve">(8A,17A)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w:t>
      </w:r>
      <w:r>
        <w:rPr>
          <w:rFonts w:ascii="Times New Roman" w:hAnsi="Times New Roman"/>
          <w:b w:val="false"/>
          <w:i w:val="false"/>
          <w:color w:val="000000"/>
          <w:sz w:val="22"/>
        </w:rPr>
        <w:t> </w:t>
      </w:r>
      <w:r>
        <w:rPr>
          <w:rFonts w:ascii="Times New Roman" w:hAnsi="Times New Roman"/>
          <w:b w:val="false"/>
          <w:i w:val="false"/>
          <w:color w:val="000000"/>
          <w:sz w:val="22"/>
        </w:rPr>
        <w:t xml:space="preserve">Ex parte communication is prohibited as provided in Iowa Code section </w:t>
      </w:r>
      <w:hyperlink r:id="rId48">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Parties or their representatives and the presiding officer shall not communicate directly or indirectly in connection with any issue of fact or law in a contested case except upon notice and an opportunity for all parties to participate. The presiding officer may communicate with persons who are not parties as provided in </w:t>
      </w:r>
      <w:hyperlink r:id="rId49">
        <w:r>
          <w:rPr>
            <w:rStyle w:val="Hyperlink"/>
            <w:rFonts w:ascii="Times New Roman" w:hAnsi="Times New Roman"/>
            <w:b w:val="false"/>
            <w:i w:val="false"/>
            <w:color w:val="000000"/>
            <w:sz w:val="22"/>
          </w:rPr>
          <w:t>subrule 7.23(2)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w:t>
      </w:r>
      <w:r>
        <w:rPr>
          <w:rFonts w:ascii="Times New Roman" w:hAnsi="Times New Roman"/>
          <w:b w:val="false"/>
          <w:i w:val="false"/>
          <w:color w:val="000000"/>
          <w:sz w:val="22"/>
        </w:rPr>
        <w:t> </w:t>
      </w:r>
      <w:r>
        <w:rPr>
          <w:rFonts w:ascii="Times New Roman" w:hAnsi="Times New Roman"/>
          <w:b w:val="false"/>
          <w:i w:val="false"/>
          <w:color w:val="000000"/>
          <w:sz w:val="22"/>
        </w:rPr>
        <w:t>However, the presiding officer may communicate with members of the department and may have the aid and advice of persons other than those with a personal interest in, or those prosecuting or advocating in the case under consideration or a factually related case involving the same parties. 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7.23(3)</w:t>
      </w:r>
      <w:r>
        <w:rPr>
          <w:rFonts w:ascii="Times New Roman" w:hAnsi="Times New Roman"/>
          <w:b w:val="false"/>
          <w:i w:val="false"/>
          <w:color w:val="000000"/>
          <w:sz w:val="22"/>
        </w:rPr>
        <w:t> </w:t>
      </w:r>
      <w:r>
        <w:rPr>
          <w:rFonts w:ascii="Times New Roman" w:hAnsi="Times New Roman"/>
          <w:b w:val="false"/>
          <w:i w:val="false"/>
          <w:color w:val="000000"/>
          <w:sz w:val="22"/>
        </w:rPr>
        <w:t>Any party or presiding officer who receives prohibited communication shall submit the written communication or a summary of the oral communication for inclusion in the record. Copies shall be sent to all parties. There shall be opportunity to respond.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7.23(4)</w:t>
      </w:r>
      <w:r>
        <w:rPr>
          <w:rFonts w:ascii="Times New Roman" w:hAnsi="Times New Roman"/>
          <w:b w:val="false"/>
          <w:i w:val="false"/>
          <w:color w:val="000000"/>
          <w:sz w:val="22"/>
        </w:rPr>
        <w:t> </w:t>
      </w:r>
      <w:r>
        <w:rPr>
          <w:rFonts w:ascii="Times New Roman" w:hAnsi="Times New Roman"/>
          <w:b w:val="false"/>
          <w:i w:val="false"/>
          <w:color w:val="000000"/>
          <w:sz w:val="22"/>
        </w:rPr>
        <w:t>Prohibited communications may result in sanctions as provided in department rule. In addition, the department, through the presiding officer, may censure the person or may prohibit further appearance before the department.</w:t>
      </w:r>
    </w:p>
    <w:p>
      <w:pPr>
        <w:spacing w:before="0" w:after="0"/>
        <w:ind w:left="120"/>
        <w:jc w:val="both"/>
      </w:pPr>
      <w:r>
        <w:rPr>
          <w:rFonts w:ascii="Times New Roman" w:hAnsi="Times New Roman"/>
          <w:b/>
          <w:i w:val="false"/>
          <w:color w:val="000000"/>
          <w:sz w:val="22"/>
        </w:rPr>
        <w:t>11—7.24</w:t>
      </w:r>
      <w:r>
        <w:rPr>
          <w:rFonts w:ascii="Times New Roman" w:hAnsi="Times New Roman"/>
          <w:b/>
          <w:i w:val="false"/>
          <w:color w:val="000000"/>
          <w:sz w:val="22"/>
        </w:rPr>
        <w:t xml:space="preserve">(8A,17A)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The department shall provide a copy of the tape-recorded hearing or a printed transcript of the hearing when a record of the hearing is requested. The cost of preparing the tape or transcript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reporters shall bear the cost, unless otherwise provided by law.</w:t>
      </w:r>
    </w:p>
    <w:p>
      <w:pPr>
        <w:spacing w:before="210" w:after="0"/>
        <w:ind w:left="120"/>
        <w:jc w:val="both"/>
      </w:pPr>
      <w:r>
        <w:rPr>
          <w:rFonts w:ascii="Times New Roman" w:hAnsi="Times New Roman"/>
          <w:b/>
          <w:i w:val="false"/>
          <w:color w:val="000000"/>
          <w:sz w:val="22"/>
        </w:rPr>
        <w:t>11—7.25</w:t>
      </w:r>
      <w:r>
        <w:rPr>
          <w:rFonts w:ascii="Times New Roman" w:hAnsi="Times New Roman"/>
          <w:b/>
          <w:i w:val="false"/>
          <w:color w:val="000000"/>
          <w:sz w:val="22"/>
        </w:rPr>
        <w:t xml:space="preserve">(8A,17A)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director or the director’s designee may review an interlocutory order of the presiding officer. In determining whether to do so, the director shall weigh the extent to which the granting of the interlocutory appeal would expedite final resolution of the case and the extent to which review of that interlocutory order by the department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ind w:left="120"/>
        <w:jc w:val="both"/>
      </w:pPr>
      <w:r>
        <w:rPr>
          <w:rFonts w:ascii="Times New Roman" w:hAnsi="Times New Roman"/>
          <w:b/>
          <w:i w:val="false"/>
          <w:color w:val="000000"/>
          <w:sz w:val="22"/>
        </w:rPr>
        <w:t>11—7.26</w:t>
      </w:r>
      <w:r>
        <w:rPr>
          <w:rFonts w:ascii="Times New Roman" w:hAnsi="Times New Roman"/>
          <w:b/>
          <w:i w:val="false"/>
          <w:color w:val="000000"/>
          <w:sz w:val="22"/>
        </w:rPr>
        <w:t xml:space="preserve">(8A,17A)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7.26(1)</w:t>
      </w:r>
      <w:r>
        <w:rPr>
          <w:rFonts w:ascii="Times New Roman" w:hAnsi="Times New Roman"/>
          <w:b w:val="false"/>
          <w:i w:val="false"/>
          <w:color w:val="000000"/>
          <w:sz w:val="22"/>
        </w:rPr>
        <w:t> </w:t>
      </w:r>
      <w:r>
        <w:rPr>
          <w:rFonts w:ascii="Times New Roman" w:hAnsi="Times New Roman"/>
          <w:b w:val="false"/>
          <w:i/>
          <w:color w:val="000000"/>
          <w:sz w:val="22"/>
        </w:rPr>
        <w:t xml:space="preserve">Final decision of department. </w:t>
      </w:r>
      <w:r>
        <w:rPr>
          <w:rFonts w:ascii="Times New Roman" w:hAnsi="Times New Roman"/>
          <w:b w:val="false"/>
          <w:i w:val="false"/>
          <w:color w:val="000000"/>
          <w:sz w:val="22"/>
        </w:rPr>
        <w:t>When the department presides over the reception of evidence at the hearing, its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7.26(2)</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When the department does not preside at the reception of evidence, the presiding officer shall make a proposed decision.</w:t>
      </w:r>
    </w:p>
    <w:p>
      <w:pPr>
        <w:spacing w:before="0" w:after="0"/>
        <w:ind w:left="120"/>
        <w:jc w:val="both"/>
      </w:pPr>
      <w:r>
        <w:rPr>
          <w:rFonts w:ascii="Times New Roman" w:hAnsi="Times New Roman"/>
          <w:b w:val="false"/>
          <w:i w:val="false"/>
          <w:color w:val="000000"/>
          <w:sz w:val="22"/>
        </w:rPr>
        <w:t xml:space="preserve">A ruling dismissing all of a party’s claims or a voluntary dismissal is a proposed decision under Iowa Code section </w:t>
      </w:r>
      <w:hyperlink r:id="rId50">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7.26(3)</w:t>
      </w:r>
      <w:r>
        <w:rPr>
          <w:rFonts w:ascii="Times New Roman" w:hAnsi="Times New Roman"/>
          <w:b w:val="false"/>
          <w:i w:val="false"/>
          <w:color w:val="000000"/>
          <w:sz w:val="22"/>
        </w:rPr>
        <w:t> </w:t>
      </w:r>
      <w:r>
        <w:rPr>
          <w:rFonts w:ascii="Times New Roman" w:hAnsi="Times New Roman"/>
          <w:b w:val="false"/>
          <w:i/>
          <w:color w:val="000000"/>
          <w:sz w:val="22"/>
        </w:rPr>
        <w:t xml:space="preserve">Contents of decision. </w:t>
      </w:r>
      <w:r>
        <w:rPr>
          <w:rFonts w:ascii="Times New Roman" w:hAnsi="Times New Roman"/>
          <w:b w:val="false"/>
          <w:i w:val="false"/>
          <w:color w:val="000000"/>
          <w:sz w:val="22"/>
        </w:rPr>
        <w:t>The proposed or final decision or order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in writing or stated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findings of fact. Findings of fact, if set forth in statutory language, shall be accompanied by a concise and explicit statement of underlying facts supporting the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conclusions of law stated separately from findings of fact and supported by cited authority or a reasoned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Be based on the record of the contested case. The record of the contested case shall include all materials specified in Iowa Code subsection </w:t>
      </w:r>
      <w:hyperlink r:id="rId51">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This record shall include any request for a contested case hearing and other relevant procedural documents regardless of their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7.26(4)</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becomes final. </w:t>
      </w:r>
      <w:r>
        <w:rPr>
          <w:rFonts w:ascii="Times New Roman" w:hAnsi="Times New Roman"/>
          <w:b w:val="false"/>
          <w:i w:val="false"/>
          <w:color w:val="000000"/>
          <w:sz w:val="22"/>
        </w:rPr>
        <w:t xml:space="preserve">The proposed decision of the presiding officer becomes the final decision of the department without further proceedings unless there is an appeal to, or review on motion of, the department within the time provided in </w:t>
      </w:r>
      <w:hyperlink r:id="rId52">
        <w:r>
          <w:rPr>
            <w:rStyle w:val="Hyperlink"/>
            <w:rFonts w:ascii="Times New Roman" w:hAnsi="Times New Roman"/>
            <w:b w:val="false"/>
            <w:i w:val="false"/>
            <w:color w:val="000000"/>
            <w:sz w:val="22"/>
          </w:rPr>
          <w:t>rule 11—7.27(8A,17A)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7.26(5)</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department shall send to the division a copy of any request for review of a proposed decision issued by a presiding officer from the department of inspections and appeals. The department shall notify the division of the results of the review, the final decision and any judicial decision issued.</w:t>
      </w:r>
    </w:p>
    <w:p>
      <w:pPr>
        <w:spacing w:before="0" w:after="0"/>
        <w:ind w:left="120"/>
        <w:jc w:val="both"/>
      </w:pPr>
      <w:r>
        <w:rPr>
          <w:rFonts w:ascii="Times New Roman" w:hAnsi="Times New Roman"/>
          <w:b/>
          <w:i w:val="false"/>
          <w:color w:val="000000"/>
          <w:sz w:val="22"/>
        </w:rPr>
        <w:t>11—7.27</w:t>
      </w:r>
      <w:r>
        <w:rPr>
          <w:rFonts w:ascii="Times New Roman" w:hAnsi="Times New Roman"/>
          <w:b/>
          <w:i w:val="false"/>
          <w:color w:val="000000"/>
          <w:sz w:val="22"/>
        </w:rPr>
        <w:t xml:space="preserve">(8A,17A)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director within 14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director may initiate review of a proposed decision on the director’s own motion at any time within 21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department.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director may remand a case to the presiding officer for further hearing. The director or director’s designee may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department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14 days thereafter, any party may file a responsive brief. Briefs shall cite any applicable legal authority and specify relevant portions of the record in that proceeding. Written requests to present oral argument shall be filed with the briefs. The director or director’s designee may resolve the appeal on the briefs or provide an opportunity for oral argument. The director or director’s designee may shorten or extend the briefing period as appropriate.</w:t>
      </w:r>
    </w:p>
    <w:p>
      <w:pPr>
        <w:spacing w:before="0" w:after="0"/>
        <w:ind w:left="120"/>
        <w:jc w:val="both"/>
      </w:pPr>
      <w:r>
        <w:rPr>
          <w:rFonts w:ascii="Times New Roman" w:hAnsi="Times New Roman"/>
          <w:b/>
          <w:i w:val="false"/>
          <w:color w:val="000000"/>
          <w:sz w:val="22"/>
        </w:rPr>
        <w:t>11—7.28</w:t>
      </w:r>
      <w:r>
        <w:rPr>
          <w:rFonts w:ascii="Times New Roman" w:hAnsi="Times New Roman"/>
          <w:b/>
          <w:i w:val="false"/>
          <w:color w:val="000000"/>
          <w:sz w:val="22"/>
        </w:rPr>
        <w:t xml:space="preserve">(8A,17A)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department decision on the existing record and whether, on the basis of the grounds enumerated in </w:t>
      </w:r>
      <w:hyperlink r:id="rId53">
        <w:r>
          <w:rPr>
            <w:rStyle w:val="Hyperlink"/>
            <w:rFonts w:ascii="Times New Roman" w:hAnsi="Times New Roman"/>
            <w:b w:val="false"/>
            <w:i w:val="false"/>
            <w:color w:val="000000"/>
            <w:sz w:val="22"/>
          </w:rPr>
          <w:t>subrule 7.27(4)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department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department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department grants the application within 20 days after its filing.</w:t>
      </w:r>
    </w:p>
    <w:p>
      <w:pPr>
        <w:spacing w:before="0" w:after="0"/>
        <w:ind w:left="120"/>
        <w:jc w:val="both"/>
      </w:pPr>
      <w:r>
        <w:rPr>
          <w:rFonts w:ascii="Times New Roman" w:hAnsi="Times New Roman"/>
          <w:b/>
          <w:i w:val="false"/>
          <w:color w:val="000000"/>
          <w:sz w:val="22"/>
        </w:rPr>
        <w:t>11—7.29</w:t>
      </w:r>
      <w:r>
        <w:rPr>
          <w:rFonts w:ascii="Times New Roman" w:hAnsi="Times New Roman"/>
          <w:b/>
          <w:i w:val="false"/>
          <w:color w:val="000000"/>
          <w:sz w:val="22"/>
        </w:rPr>
        <w:t xml:space="preserve">(8A,17A) </w:t>
      </w:r>
      <w:r>
        <w:rPr>
          <w:rFonts w:ascii="Times New Roman" w:hAnsi="Times New Roman"/>
          <w:b/>
          <w:i w:val="false"/>
          <w:color w:val="000000"/>
          <w:sz w:val="22"/>
        </w:rPr>
        <w:t xml:space="preserve">Stays of department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department for a stay of an order issued in that proceeding or for other temporary remedies, pending review by the department. The petition shall be filed with the notice of appeal and shall state the reasons justifying a stay or other temporary remedy. The director or director’s designee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department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director, director’s designee, or presiding officer shall consider factors listed in Iowa Code section </w:t>
      </w:r>
      <w:hyperlink r:id="rId54">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department’s representative or any other party.</w:t>
      </w:r>
    </w:p>
    <w:p>
      <w:pPr>
        <w:spacing w:before="210" w:after="0"/>
        <w:ind w:left="120"/>
        <w:jc w:val="both"/>
      </w:pPr>
      <w:r>
        <w:rPr>
          <w:rFonts w:ascii="Times New Roman" w:hAnsi="Times New Roman"/>
          <w:b/>
          <w:i w:val="false"/>
          <w:color w:val="000000"/>
          <w:sz w:val="22"/>
        </w:rPr>
        <w:t>11—7.30</w:t>
      </w:r>
      <w:r>
        <w:rPr>
          <w:rFonts w:ascii="Times New Roman" w:hAnsi="Times New Roman"/>
          <w:b/>
          <w:i w:val="false"/>
          <w:color w:val="000000"/>
          <w:sz w:val="22"/>
        </w:rPr>
        <w:t xml:space="preserve">(8A,17A)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11—7.31</w:t>
      </w:r>
      <w:r>
        <w:rPr>
          <w:rFonts w:ascii="Times New Roman" w:hAnsi="Times New Roman"/>
          <w:b/>
          <w:i w:val="false"/>
          <w:color w:val="000000"/>
          <w:sz w:val="22"/>
        </w:rPr>
        <w:t xml:space="preserve">(8A,17A)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department may issue a written order in compliance with Iowa Code section </w:t>
      </w:r>
      <w:hyperlink r:id="rId55">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department by emergency adjudicative order. Before issuing an emergency adjudicative order, the department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department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department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department’s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department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department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department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department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shall include notification of the date on which department proceedings are scheduled for completion. After issuance of an emergency adjudicative order, continuance of further department proceedings to a later date will be granted only in compelling circumstances upon application in writing.</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6">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4/22/04, Notice 3/17/04—published 5/12/04, effective 6/16/04]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60.2.pdf" Type="http://schemas.openxmlformats.org/officeDocument/2006/relationships/hyperlink" Id="rId5"/>
    <Relationship TargetMode="External" Target="https://www.legis.iowa.gov/docs/iac/rule/11.61.1.pdf" Type="http://schemas.openxmlformats.org/officeDocument/2006/relationships/hyperlink" Id="rId6"/>
    <Relationship TargetMode="External" Target="https://www.legis.iowa.gov/docs/iac/rule/11.61.2.pdf" Type="http://schemas.openxmlformats.org/officeDocument/2006/relationships/hyperlink" Id="rId7"/>
    <Relationship TargetMode="External" Target="https://www.legis.iowa.gov/docs/iac/rule/11.68.6.pdf" Type="http://schemas.openxmlformats.org/officeDocument/2006/relationships/hyperlink" Id="rId8"/>
    <Relationship TargetMode="External" Target="https://www.legis.iowa.gov/docs/iac/chapter/11.52.pdf" Type="http://schemas.openxmlformats.org/officeDocument/2006/relationships/hyperlink" Id="rId9"/>
    <Relationship TargetMode="External" Target="https://www.legis.iowa.gov/docs/iac/rule/11.7.5.pdf" Type="http://schemas.openxmlformats.org/officeDocument/2006/relationships/hyperlink" Id="rId10"/>
    <Relationship TargetMode="External" Target="https://www.legis.iowa.gov/docs/iac/rule/11.7.5.pdf" Type="http://schemas.openxmlformats.org/officeDocument/2006/relationships/hyperlink" Id="rId11"/>
    <Relationship TargetMode="External" Target="https://www.legis.iowa.gov/docs/iac/rule/11.7.6.pdf" Type="http://schemas.openxmlformats.org/officeDocument/2006/relationships/hyperlink" Id="rId12"/>
    <Relationship TargetMode="External" Target="https://www.legis.iowa.gov/docs/iac/rule/11.7.8.pdf" Type="http://schemas.openxmlformats.org/officeDocument/2006/relationships/hyperlink" Id="rId13"/>
    <Relationship TargetMode="External" Target="https://www.legis.iowa.gov/docs/ico/chapter/17A.2.pdf" Type="http://schemas.openxmlformats.org/officeDocument/2006/relationships/hyperlink" Id="rId14"/>
    <Relationship TargetMode="External" Target="https://www.legis.iowa.gov/docs/ico/chapter/17A.10A.pdf" Type="http://schemas.openxmlformats.org/officeDocument/2006/relationships/hyperlink" Id="rId15"/>
    <Relationship TargetMode="External" Target="https://www.legis.iowa.gov/docs/iac/rule/11.7.12.pdf" Type="http://schemas.openxmlformats.org/officeDocument/2006/relationships/hyperlink" Id="rId16"/>
    <Relationship TargetMode="External" Target="https://www.legis.iowa.gov/docs/ico/chapter/17A.2.pdf" Type="http://schemas.openxmlformats.org/officeDocument/2006/relationships/hyperlink" Id="rId17"/>
    <Relationship TargetMode="External" Target="https://www.legis.iowa.gov/docs/iac/rule/11.52.5.pdf" Type="http://schemas.openxmlformats.org/officeDocument/2006/relationships/hyperlink" Id="rId18"/>
    <Relationship TargetMode="External" Target="https://www.legis.iowa.gov/docs/ico/chapter/4.1.pdf" Type="http://schemas.openxmlformats.org/officeDocument/2006/relationships/hyperlink" Id="rId19"/>
    <Relationship TargetMode="External" Target="https://www.legis.iowa.gov/docs/ico/chapter/17A.12.pdf" Type="http://schemas.openxmlformats.org/officeDocument/2006/relationships/hyperlink" Id="rId20"/>
    <Relationship TargetMode="External" Target="https://www.legis.iowa.gov/docs/ico/chapter/17A.10.pdf" Type="http://schemas.openxmlformats.org/officeDocument/2006/relationships/hyperlink" Id="rId21"/>
    <Relationship TargetMode="External" Target="https://www.legis.iowa.gov/docs/ico/chapter/17A.17.pdf" Type="http://schemas.openxmlformats.org/officeDocument/2006/relationships/hyperlink" Id="rId22"/>
    <Relationship TargetMode="External" Target="https://www.legis.iowa.gov/docs/iac/rule/11.7.9.pdf" Type="http://schemas.openxmlformats.org/officeDocument/2006/relationships/hyperlink" Id="rId23"/>
    <Relationship TargetMode="External" Target="https://www.legis.iowa.gov/docs/iac/rule/11.7.23.pdf" Type="http://schemas.openxmlformats.org/officeDocument/2006/relationships/hyperlink" Id="rId24"/>
    <Relationship TargetMode="External" Target="https://www.legis.iowa.gov/docs/iac/rule/11.7.9.pdf" Type="http://schemas.openxmlformats.org/officeDocument/2006/relationships/hyperlink" Id="rId25"/>
    <Relationship TargetMode="External" Target="https://www.legis.iowa.gov/docs/ico/chapter/17A.17.pdf" Type="http://schemas.openxmlformats.org/officeDocument/2006/relationships/hyperlink" Id="rId26"/>
    <Relationship TargetMode="External" Target="https://www.legis.iowa.gov/docs/iac/rule/11.7.25.pdf" Type="http://schemas.openxmlformats.org/officeDocument/2006/relationships/hyperlink" Id="rId27"/>
    <Relationship TargetMode="External" Target="https://www.legis.iowa.gov/docs/iac/rule/11.7.29.pdf" Type="http://schemas.openxmlformats.org/officeDocument/2006/relationships/hyperlink" Id="rId28"/>
    <Relationship TargetMode="External" Target="https://www.legis.iowa.gov/docs/iac/rule/11.7.11.pdf" Type="http://schemas.openxmlformats.org/officeDocument/2006/relationships/hyperlink" Id="rId29"/>
    <Relationship TargetMode="External" Target="https://www.legis.iowa.gov/docs/ico/chapter/17A.16.pdf" Type="http://schemas.openxmlformats.org/officeDocument/2006/relationships/hyperlink" Id="rId30"/>
    <Relationship TargetMode="External" Target="https://www.legis.iowa.gov/docs/iac/rule/11.7.12.pdf" Type="http://schemas.openxmlformats.org/officeDocument/2006/relationships/hyperlink" Id="rId31"/>
    <Relationship TargetMode="External" Target="https://www.legis.iowa.gov/docs/iac/rule/11.7.12.pdf" Type="http://schemas.openxmlformats.org/officeDocument/2006/relationships/hyperlink" Id="rId32"/>
    <Relationship TargetMode="External" Target="https://www.legis.iowa.gov/docs/iac/rule/11.7.12.pdf" Type="http://schemas.openxmlformats.org/officeDocument/2006/relationships/hyperlink" Id="rId33"/>
    <Relationship TargetMode="External" Target="https://www.legis.iowa.gov/docs/ico/chapter/17A.12.pdf" Type="http://schemas.openxmlformats.org/officeDocument/2006/relationships/hyperlink" Id="rId34"/>
    <Relationship TargetMode="External" Target="https://www.legis.iowa.gov/docs/ico/chapter/17A.13.pdf" Type="http://schemas.openxmlformats.org/officeDocument/2006/relationships/hyperlink" Id="rId35"/>
    <Relationship TargetMode="External" Target="https://www.legis.iowa.gov/docs/iac/rule/11.7.13.pdf" Type="http://schemas.openxmlformats.org/officeDocument/2006/relationships/hyperlink" Id="rId36"/>
    <Relationship TargetMode="External" Target="https://www.legis.iowa.gov/docs/ico/chapter/17A.13.pdf" Type="http://schemas.openxmlformats.org/officeDocument/2006/relationships/hyperlink" Id="rId37"/>
    <Relationship TargetMode="External" Target="https://www.legis.iowa.gov/docs/iac/rule/11.7.14.pdf" Type="http://schemas.openxmlformats.org/officeDocument/2006/relationships/hyperlink" Id="rId38"/>
    <Relationship TargetMode="External" Target="https://www.legis.iowa.gov/docs/iac/rule/11.7.16.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17A.10.pdf" Type="http://schemas.openxmlformats.org/officeDocument/2006/relationships/hyperlink" Id="rId41"/>
    <Relationship TargetMode="External" Target="https://www.legis.iowa.gov/docs/ico/chapter/17A.14.pdf" Type="http://schemas.openxmlformats.org/officeDocument/2006/relationships/hyperlink" Id="rId42"/>
    <Relationship TargetMode="External" Target="https://www.legis.iowa.gov/docs/ico/chapter/17A.14.pdf" Type="http://schemas.openxmlformats.org/officeDocument/2006/relationships/hyperlink" Id="rId43"/>
    <Relationship TargetMode="External" Target="https://www.legis.iowa.gov/docs/ico/chapter/17A.14.pdf" Type="http://schemas.openxmlformats.org/officeDocument/2006/relationships/hyperlink" Id="rId44"/>
    <Relationship TargetMode="External" Target="https://www.legis.iowa.gov/docs/iac/rule/11.7.27.pdf" Type="http://schemas.openxmlformats.org/officeDocument/2006/relationships/hyperlink" Id="rId45"/>
    <Relationship TargetMode="External" Target="https://www.legis.iowa.gov/docs/iac/rule/11.7.25.pdf" Type="http://schemas.openxmlformats.org/officeDocument/2006/relationships/hyperlink" Id="rId46"/>
    <Relationship TargetMode="External" Target="https://www.legis.iowa.gov/docs/iac/rule/11.7.29.pdf" Type="http://schemas.openxmlformats.org/officeDocument/2006/relationships/hyperlink" Id="rId47"/>
    <Relationship TargetMode="External" Target="https://www.legis.iowa.gov/docs/ico/chapter/17A.17.pdf" Type="http://schemas.openxmlformats.org/officeDocument/2006/relationships/hyperlink" Id="rId48"/>
    <Relationship TargetMode="External" Target="https://www.legis.iowa.gov/docs/iac/rule/11.7.23.pdf" Type="http://schemas.openxmlformats.org/officeDocument/2006/relationships/hyperlink" Id="rId49"/>
    <Relationship TargetMode="External" Target="https://www.legis.iowa.gov/docs/ico/chapter/17A.15.pdf" Type="http://schemas.openxmlformats.org/officeDocument/2006/relationships/hyperlink" Id="rId50"/>
    <Relationship TargetMode="External" Target="https://www.legis.iowa.gov/docs/ico/chapter/17A.12.pdf" Type="http://schemas.openxmlformats.org/officeDocument/2006/relationships/hyperlink" Id="rId51"/>
    <Relationship TargetMode="External" Target="https://www.legis.iowa.gov/docs/iac/rule/11.7.27.pdf" Type="http://schemas.openxmlformats.org/officeDocument/2006/relationships/hyperlink" Id="rId52"/>
    <Relationship TargetMode="External" Target="https://www.legis.iowa.gov/docs/iac/rule/11.7.27.pdf" Type="http://schemas.openxmlformats.org/officeDocument/2006/relationships/hyperlink" Id="rId53"/>
    <Relationship TargetMode="External" Target="https://www.legis.iowa.gov/docs/ico/chapter/17A.19.pdf" Type="http://schemas.openxmlformats.org/officeDocument/2006/relationships/hyperlink" Id="rId54"/>
    <Relationship TargetMode="External" Target="https://www.legis.iowa.gov/docs/ico/chapter/17A.18.pdf" Type="http://schemas.openxmlformats.org/officeDocument/2006/relationships/hyperlink" Id="rId55"/>
    <Relationship TargetMode="External" Target="https://www.legis.iowa.gov/docs/ico/chapter/8A.pdf" Type="http://schemas.openxmlformats.org/officeDocument/2006/relationships/hyperlink" Id="rId56"/>
    <Relationship TargetMode="External" Target="https://www.legis.iowa.gov/docs/ico/chapter/17A.pdf" Type="http://schemas.openxmlformats.org/officeDocument/2006/relationships/hyperlink" Id="rId5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