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AGENCY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11—6.1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department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210" w:after="0"/>
        <w:ind w:left="120"/>
        <w:jc w:val="both"/>
      </w:pPr>
      <w:r>
        <w:rPr>
          <w:rFonts w:ascii="Times New Roman" w:hAnsi="Times New Roman"/>
          <w:b/>
          <w:i w:val="false"/>
          <w:color w:val="000000"/>
          <w:sz w:val="22"/>
        </w:rPr>
        <w:t>11—6.2</w:t>
      </w:r>
      <w:r>
        <w:rPr>
          <w:rFonts w:ascii="Times New Roman" w:hAnsi="Times New Roman"/>
          <w:b/>
          <w:i w:val="false"/>
          <w:color w:val="000000"/>
          <w:sz w:val="22"/>
        </w:rPr>
        <w:t xml:space="preserve">(17A) </w:t>
      </w:r>
      <w:r>
        <w:rPr>
          <w:rFonts w:ascii="Times New Roman" w:hAnsi="Times New Roman"/>
          <w:b/>
          <w:i w:val="false"/>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department may, before publication of a Notice of Intended Action under Iowa Code section </w:t>
      </w:r>
      <w:hyperlink r:id="rId6">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solicit comments from the public on a subject matter of possible rule making by the department by causing notice to be published in the Iowa Administrative Bulletin of the subject matter and indicating where, when, and how persons may comment. Notwithstanding the foregoing, except as otherwise provided by law, the department may use its own experience, specialized knowledge, and judgment in the adoption of a rule.</w:t>
      </w:r>
    </w:p>
    <w:p>
      <w:pPr>
        <w:spacing w:before="0" w:after="0"/>
        <w:ind w:left="120"/>
        <w:jc w:val="both"/>
      </w:pPr>
      <w:r>
        <w:rPr>
          <w:rFonts w:ascii="Times New Roman" w:hAnsi="Times New Roman"/>
          <w:b/>
          <w:i w:val="false"/>
          <w:color w:val="000000"/>
          <w:sz w:val="22"/>
        </w:rPr>
        <w:t>11—6.3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department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department. For each anticipated rule-making proceeding, the docket shall contain a listing of the precise subject matter which may be submitted for consideration by the department for subsequent proposal under the provisions of Iowa Code section </w:t>
      </w:r>
      <w:hyperlink r:id="rId7">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name and address of department personnel with whom persons may communicate with respect to the matter, and an indication of the present status within the agency of that possible rule. The department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8">
        <w:r>
          <w:rPr>
            <w:rStyle w:val="Hyperlink"/>
            <w:rFonts w:ascii="Times New Roman" w:hAnsi="Times New Roman"/>
            <w:b w:val="false"/>
            <w:i w:val="false"/>
            <w:color w:val="000000"/>
            <w:sz w:val="22"/>
          </w:rPr>
          <w:t>17A.4(1)</w:t>
        </w:r>
        <w:r>
          <w:rPr>
            <w:rFonts w:ascii="Times New Roman" w:hAnsi="Times New Roman"/>
            <w:b w:val="false"/>
            <w:i/>
            <w:color w:val="000000"/>
            <w:sz w:val="22"/>
          </w:rPr>
          <w:t>“a,”</w:t>
        </w:r>
      </w:hyperlink>
      <w:r>
        <w:rPr>
          <w:rFonts w:ascii="Times New Roman" w:hAnsi="Times New Roman"/>
          <w:b w:val="false"/>
          <w:i w:val="false"/>
          <w:color w:val="000000"/>
          <w:sz w:val="22"/>
        </w:rPr>
        <w:t xml:space="preserve"> to the time it is terminated, by publication of a Notice of Termination in the Iowa Administrative Bulletin or the rule’s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department determination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department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p>
      <w:pPr>
        <w:spacing w:before="0" w:after="0"/>
        <w:ind w:left="120"/>
        <w:jc w:val="both"/>
      </w:pPr>
      <w:r>
        <w:rPr>
          <w:rFonts w:ascii="Times New Roman" w:hAnsi="Times New Roman"/>
          <w:b/>
          <w:i w:val="false"/>
          <w:color w:val="000000"/>
          <w:sz w:val="22"/>
        </w:rPr>
        <w:t>11—6.4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department shall cause a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department shall include in the notice a statement fully describing the specific subject matter of the omitted portion of the text of the proposed rule, the specific issues to be addressed by that omitted text of the proposed rule, and the range of possible choices being considered by the department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subrule </w:t>
      </w:r>
      <w:hyperlink r:id="rId9">
        <w:r>
          <w:rPr>
            <w:rStyle w:val="Hyperlink"/>
            <w:rFonts w:ascii="Times New Roman" w:hAnsi="Times New Roman"/>
            <w:b w:val="false"/>
            <w:i w:val="false"/>
            <w:color w:val="000000"/>
            <w:sz w:val="22"/>
          </w:rPr>
          <w:t>6.12(2)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department a written request indicating the name and address to which such notices should be sent. Within seven days after submission of a Notice of Intended Action to the administrative rules coordinator for publication in the Iowa Administrative Bulletin, the agency shall mail or electronically transmit a copy of that notice to subscribers who have filed a written request for either mailing or electronic transmittal with the agency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one year. Inquiries regarding the subscription price should be directed to the Department of Administrative Services, Office of the Director, Hoover State Office Building, Third Floor,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For at least 20 days after publication of the Notice of Intended Action, persons may submit argument, data, and views, in writing, on the proposed rule. Such written submissions should identify the proposed rule to which they relate and should be submitted to the person designated in the Notice of Intended Action at the address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department may, at any time, schedule an oral proceeding on a proposed rule. The department shall schedule an oral proceeding on a proposed rule if, within 20 days after the published Notice of Intended Action, a written request for an opportunity to make oral presentations is submitted to the department by the administrative rules review committee, a governmental subdivision, an agency, an association having not less than 25 members, or at least 25 persons. That request must also contain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must be signed by each of them and include the address and telephone number of each of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must be signed by an officer or designee of the association and must contain a statement that the association has at least 25 members and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must be signed by an official having authority to act on behalf of the entity and must contain the address and telephone number of the person signing that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subrule applies only to those oral rule-making proceedings in which an opportunity to make oral presentations is authorized or required by Iowa Code section </w:t>
      </w:r>
      <w:hyperlink r:id="rId10">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An oral proceeding on a proposed rule may be held in one or more locations and shall not be held earlier than 20 days after notice of its location and time is published in the Iowa Administrative Bulletin. That notice shall also identify the proposed rule by ARC number and citation to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or another person designated by the director who will be familiar with the substance of the proposed rule, shall preside at the oral proceeding on a proposed rule. If the director does not preside, the presiding officer shall prepare a memorandum for consideration by the director summarizing the contents of the presentations made at the oral proceeding unless the director determines that such a memorandum is unnecessary because the director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Conduct of proceeding. </w:t>
      </w:r>
      <w:r>
        <w:rPr>
          <w:rFonts w:ascii="Times New Roman" w:hAnsi="Times New Roman"/>
          <w:b w:val="false"/>
          <w:i w:val="false"/>
          <w:color w:val="000000"/>
          <w:sz w:val="22"/>
        </w:rPr>
        <w:t>At an oral proceeding on a proposed rule, persons may make oral statements and make documentary and physical submissions, which may include data, views, comments or arguments concerning the proposed rule. Persons wishing to make oral presentations at such a proceeding are encouraged to notify the director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oral proceeding, the presiding officer shall give a brief synopsis of the proposed rule, a statement of the statutory authority for the proposed rule, and the reasons for the agency decision to propose the rule. 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continue the oral proceeding at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shall not be required to take an oath or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department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department shall schedule oral proceedings in rooms accessible to and functional for persons with physical disabilities. Persons who have special requirements should contact the person designated in the Notice of Intended Action at the telephone number or address provided in the Notice of Intended Action in advance to arrange access or other needed services.</w:t>
      </w:r>
    </w:p>
    <w:p>
      <w:pPr>
        <w:spacing w:before="0" w:after="0"/>
        <w:ind w:left="120"/>
        <w:jc w:val="both"/>
      </w:pPr>
      <w:r>
        <w:rPr>
          <w:rFonts w:ascii="Times New Roman" w:hAnsi="Times New Roman"/>
          <w:b/>
          <w:i w:val="false"/>
          <w:color w:val="000000"/>
          <w:sz w:val="22"/>
        </w:rPr>
        <w:t>11—6.6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1">
        <w:r>
          <w:rPr>
            <w:rStyle w:val="Hyperlink"/>
            <w:rFonts w:ascii="Times New Roman" w:hAnsi="Times New Roman"/>
            <w:b w:val="false"/>
            <w:i w:val="false"/>
            <w:color w:val="000000"/>
            <w:sz w:val="22"/>
          </w:rPr>
          <w:t>17A.4A(7)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Small businesses or organizations of small businesses may be registered on the department’s small business impact list by making a written application addressed to the rules administrator. The application for registration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small business or organization of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a person authorized to transact business for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applicant’s business or organization. An organization representing 25 or more persons who qualify as a small business shall indicate that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desires copies of Notices of Intended Action at cost, or desires advance notice of the subject of all or some specific category of proposed rule making affecting small business.</w:t>
      </w:r>
    </w:p>
    <w:p>
      <w:pPr>
        <w:spacing w:before="0" w:after="0"/>
        <w:ind w:left="120"/>
        <w:jc w:val="both"/>
      </w:pPr>
      <w:r>
        <w:rPr>
          <w:rFonts w:ascii="Times New Roman" w:hAnsi="Times New Roman"/>
          <w:b w:val="false"/>
          <w:i w:val="false"/>
          <w:color w:val="000000"/>
          <w:sz w:val="22"/>
        </w:rPr>
        <w:t>The department may at any time request additional information from the applicant to determine whether the applicant is qualified as a small business or as an organization of 25 or more small businesses. The department may periodically send a letter to each registered small business or organization of small businesses asking whether that business or organization wishes to remain on the registration list. The name of a small business or organization of small businesses will be removed from the list if a negative response is received, or if no response is received within 30 days after the letter is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Time of mailing. </w:t>
      </w:r>
      <w:r>
        <w:rPr>
          <w:rFonts w:ascii="Times New Roman" w:hAnsi="Times New Roman"/>
          <w:b w:val="false"/>
          <w:i w:val="false"/>
          <w:color w:val="000000"/>
          <w:sz w:val="22"/>
        </w:rPr>
        <w:t xml:space="preserve">Within seven days after submission of a Notice of Intended Action to the administrative rules coordinator for publication in the Iowa Administrative Bulletin, the department shall mail to all registered small businesses or organizations of small businesses, in accordance with their request, either a copy of the Notice of Intended Action or notice of the subject of that proposed rule making. In the case of a rule that may have an impact on small business adopted in reliance upon Iowa Code section </w:t>
      </w:r>
      <w:hyperlink r:id="rId12">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the department shall mail notice of the adopted rule to registered businesses or organizations prior to the time the adopted rule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analysis—economic impact. </w:t>
      </w:r>
      <w:r>
        <w:rPr>
          <w:rFonts w:ascii="Times New Roman" w:hAnsi="Times New Roman"/>
          <w:b w:val="false"/>
          <w:i w:val="false"/>
          <w:color w:val="000000"/>
          <w:sz w:val="22"/>
        </w:rPr>
        <w:t xml:space="preserve">The department shall issue a regulatory analysis of a proposed rule that conforms to the requirements of Iowa Code section </w:t>
      </w:r>
      <w:hyperlink r:id="rId13">
        <w:r>
          <w:rPr>
            <w:rStyle w:val="Hyperlink"/>
            <w:rFonts w:ascii="Times New Roman" w:hAnsi="Times New Roman"/>
            <w:b w:val="false"/>
            <w:i w:val="false"/>
            <w:color w:val="000000"/>
            <w:sz w:val="22"/>
          </w:rPr>
          <w:t>17A.4A(2)</w:t>
        </w:r>
        <w:r>
          <w:rPr>
            <w:rFonts w:ascii="Times New Roman" w:hAnsi="Times New Roman"/>
            <w:b w:val="false"/>
            <w:i/>
            <w:color w:val="000000"/>
            <w:sz w:val="22"/>
          </w:rPr>
          <w:t>“a”</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w:t>
      </w:r>
      <w:r>
        <w:rPr>
          <w:rFonts w:ascii="Times New Roman" w:hAnsi="Times New Roman"/>
          <w:b w:val="false"/>
          <w:i w:val="false"/>
          <w:color w:val="000000"/>
          <w:sz w:val="22"/>
        </w:rPr>
        <w:t> </w:t>
      </w:r>
      <w:r>
        <w:rPr>
          <w:rFonts w:ascii="Times New Roman" w:hAnsi="Times New Roman"/>
          <w:b w:val="false"/>
          <w:i/>
          <w:color w:val="000000"/>
          <w:sz w:val="22"/>
        </w:rPr>
        <w:t xml:space="preserve">Qualified requesters for regulatory analysis—business impact. </w:t>
      </w:r>
      <w:r>
        <w:rPr>
          <w:rFonts w:ascii="Times New Roman" w:hAnsi="Times New Roman"/>
          <w:b w:val="false"/>
          <w:i w:val="false"/>
          <w:color w:val="000000"/>
          <w:sz w:val="22"/>
        </w:rPr>
        <w:t xml:space="preserve">The agency shall issue a regulatory analysis of a proposed rule that conforms to the requirements of Iowa Code section </w:t>
      </w:r>
      <w:hyperlink r:id="rId14">
        <w:r>
          <w:rPr>
            <w:rStyle w:val="Hyperlink"/>
            <w:rFonts w:ascii="Times New Roman" w:hAnsi="Times New Roman"/>
            <w:b w:val="false"/>
            <w:i w:val="false"/>
            <w:color w:val="000000"/>
            <w:sz w:val="22"/>
          </w:rPr>
          <w:t>17A.4A(2)</w:t>
        </w:r>
        <w:r>
          <w:rPr>
            <w:rFonts w:ascii="Times New Roman" w:hAnsi="Times New Roman"/>
            <w:b w:val="false"/>
            <w:i/>
            <w:color w:val="000000"/>
            <w:sz w:val="22"/>
          </w:rPr>
          <w:t>“b”</w:t>
        </w:r>
      </w:hyperlink>
      <w:r>
        <w:rPr>
          <w:rFonts w:ascii="Times New Roman" w:hAnsi="Times New Roman"/>
          <w:b w:val="false"/>
          <w:i w:val="false"/>
          <w:color w:val="000000"/>
          <w:sz w:val="22"/>
        </w:rPr>
        <w:t xml:space="preserve"> after a proper request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department shall adhere to the time lines described in Iowa Code section </w:t>
      </w:r>
      <w:hyperlink r:id="rId15">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agency. The request shall be in writing and satisfy the requirements of Iowa Code section </w:t>
      </w:r>
      <w:hyperlink r:id="rId16">
        <w:r>
          <w:rPr>
            <w:rStyle w:val="Hyperlink"/>
            <w:rFonts w:ascii="Times New Roman" w:hAnsi="Times New Roman"/>
            <w:b w:val="false"/>
            <w:i w:val="false"/>
            <w:color w:val="000000"/>
            <w:sz w:val="22"/>
          </w:rPr>
          <w:t>17A.4A(1)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sections </w:t>
      </w:r>
      <w:hyperlink r:id="rId17">
        <w:r>
          <w:rPr>
            <w:rStyle w:val="Hyperlink"/>
            <w:rFonts w:ascii="Times New Roman" w:hAnsi="Times New Roman"/>
            <w:b w:val="false"/>
            <w:i w:val="false"/>
            <w:color w:val="000000"/>
            <w:sz w:val="22"/>
          </w:rPr>
          <w:t>17A.4A(4)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department shall make available, to the maximum extent feasible, copies of the published summary in conformance with Iowa Code section </w:t>
      </w:r>
      <w:hyperlink r:id="rId19">
        <w:r>
          <w:rPr>
            <w:rStyle w:val="Hyperlink"/>
            <w:rFonts w:ascii="Times New Roman" w:hAnsi="Times New Roman"/>
            <w:b w:val="false"/>
            <w:i w:val="false"/>
            <w:color w:val="000000"/>
            <w:sz w:val="22"/>
          </w:rPr>
          <w:t>17A.4A(5)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6.6(10)</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contents—rules review committee or rules coordinator. </w:t>
      </w:r>
      <w:r>
        <w:rPr>
          <w:rFonts w:ascii="Times New Roman" w:hAnsi="Times New Roman"/>
          <w:b w:val="false"/>
          <w:i w:val="false"/>
          <w:color w:val="000000"/>
          <w:sz w:val="22"/>
        </w:rPr>
        <w:t xml:space="preserve">When a regulatory analysis is issued in response to a written request from the administrative rules review committee, or the administrative rules coordinator, the regulatory analysis shall conform to the requirements of Iowa Code section </w:t>
      </w:r>
      <w:hyperlink r:id="rId20">
        <w:r>
          <w:rPr>
            <w:rStyle w:val="Hyperlink"/>
            <w:rFonts w:ascii="Times New Roman" w:hAnsi="Times New Roman"/>
            <w:b w:val="false"/>
            <w:i w:val="false"/>
            <w:color w:val="000000"/>
            <w:sz w:val="22"/>
          </w:rPr>
          <w:t>17A.4A(2)</w:t>
        </w:r>
        <w:r>
          <w:rPr>
            <w:rFonts w:ascii="Times New Roman" w:hAnsi="Times New Roman"/>
            <w:b w:val="false"/>
            <w:i/>
            <w:color w:val="000000"/>
            <w:sz w:val="22"/>
          </w:rPr>
          <w:t>“a,”</w:t>
        </w:r>
      </w:hyperlink>
      <w:r>
        <w:rPr>
          <w:rFonts w:ascii="Times New Roman" w:hAnsi="Times New Roman"/>
          <w:b w:val="false"/>
          <w:i w:val="false"/>
          <w:color w:val="000000"/>
          <w:sz w:val="22"/>
        </w:rPr>
        <w:t xml:space="preserve"> unless a written request expressly waives one or more of the items listed in the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6.6(11)</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contents—substantial impact on small business. </w:t>
      </w:r>
      <w:r>
        <w:rPr>
          <w:rFonts w:ascii="Times New Roman" w:hAnsi="Times New Roman"/>
          <w:b w:val="false"/>
          <w:i w:val="false"/>
          <w:color w:val="000000"/>
          <w:sz w:val="22"/>
        </w:rPr>
        <w:t xml:space="preserve">When a regulatory analysis is issued in response to a written request from the administrative rules review committee, the administrative rules coordinator, at least 25 persons signing that request who each qualify as a small business or by an organization representing at least 25 small businesses, the regulatory analysis shall conform to the requirements of Iowa Code section </w:t>
      </w:r>
      <w:hyperlink r:id="rId21">
        <w:r>
          <w:rPr>
            <w:rStyle w:val="Hyperlink"/>
            <w:rFonts w:ascii="Times New Roman" w:hAnsi="Times New Roman"/>
            <w:b w:val="false"/>
            <w:i w:val="false"/>
            <w:color w:val="000000"/>
            <w:sz w:val="22"/>
          </w:rPr>
          <w:t>17A.4A(2)</w:t>
        </w:r>
        <w:r>
          <w:rPr>
            <w:rFonts w:ascii="Times New Roman" w:hAnsi="Times New Roman"/>
            <w:b w:val="false"/>
            <w:i/>
            <w:color w:val="000000"/>
            <w:sz w:val="22"/>
          </w:rPr>
          <w:t>“b.”</w:t>
        </w:r>
      </w:hyperlink>
    </w:p>
    <w:p>
      <w:pPr>
        <w:spacing w:before="0" w:after="0"/>
        <w:ind w:left="120"/>
        <w:jc w:val="both"/>
      </w:pPr>
      <w:r>
        <w:rPr>
          <w:rFonts w:ascii="Times New Roman" w:hAnsi="Times New Roman"/>
          <w:b/>
          <w:i w:val="false"/>
          <w:color w:val="000000"/>
          <w:sz w:val="22"/>
        </w:rPr>
        <w:t>11—6.7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shall be accompanied by a fiscal impact statement outlining the costs associated with the rule. A fiscal impact statement shall satisfy the requirements of Iowa Code section </w:t>
      </w:r>
      <w:hyperlink r:id="rId22">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at the time it adopts a rule that the fiscal impact statement upon which the rule is based contains errors, the department shall, at the same time, issue a corrected fiscal impact statement and publish the corrected fiscal impact statement in the Iowa Administrative Bulletin.</w:t>
      </w:r>
    </w:p>
    <w:p>
      <w:pPr>
        <w:spacing w:before="0" w:after="0"/>
        <w:ind w:left="120"/>
        <w:jc w:val="both"/>
      </w:pPr>
      <w:r>
        <w:rPr>
          <w:rFonts w:ascii="Times New Roman" w:hAnsi="Times New Roman"/>
          <w:b/>
          <w:i w:val="false"/>
          <w:color w:val="000000"/>
          <w:sz w:val="22"/>
        </w:rPr>
        <w:t>11—6.8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department shall not adopt a rule until the period for making written submissions and oral presentations has expired. Within 180 days after the later of the publication of the Notice of Intended Action, or the end of oral proceedings thereon, the department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department shall consider fully all of the written submissions and oral submissions received in that rule-making proceeding or any memorandum summarizing such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6.8(3)</w:t>
      </w:r>
      <w:r>
        <w:rPr>
          <w:rFonts w:ascii="Times New Roman" w:hAnsi="Times New Roman"/>
          <w:b w:val="false"/>
          <w:i w:val="false"/>
          <w:color w:val="000000"/>
          <w:sz w:val="22"/>
        </w:rPr>
        <w:t> </w:t>
      </w:r>
      <w:r>
        <w:rPr>
          <w:rFonts w:ascii="Times New Roman" w:hAnsi="Times New Roman"/>
          <w:b w:val="false"/>
          <w:i/>
          <w:color w:val="000000"/>
          <w:sz w:val="22"/>
        </w:rPr>
        <w:t xml:space="preserve">Reliance on agency expertise. </w:t>
      </w:r>
      <w:r>
        <w:rPr>
          <w:rFonts w:ascii="Times New Roman" w:hAnsi="Times New Roman"/>
          <w:b w:val="false"/>
          <w:i w:val="false"/>
          <w:color w:val="000000"/>
          <w:sz w:val="22"/>
        </w:rPr>
        <w:t>Except as otherwise provided by law, the department may use its own experience, technical competence, specialized knowledge, and judgment in the adoption of a rule.</w:t>
      </w:r>
    </w:p>
    <w:p>
      <w:pPr>
        <w:spacing w:before="0" w:after="0"/>
        <w:ind w:left="120"/>
        <w:jc w:val="both"/>
      </w:pPr>
      <w:r>
        <w:rPr>
          <w:rFonts w:ascii="Times New Roman" w:hAnsi="Times New Roman"/>
          <w:b/>
          <w:i w:val="false"/>
          <w:color w:val="000000"/>
          <w:sz w:val="22"/>
        </w:rPr>
        <w:t>11—6.9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department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commence a rule-making proceeding within 60 days of its receipt of a petition for rule making seeking the amendment or repeal of a rule that differs from the proposed rule contained in the Notice of Intended Action upon which the rule is based, unless the department finds that the differences between the adopted rule and the proposed rule are so insubstantial as to make such a rule-making proceeding wholly unnecessary. A copy of any such finding and the petition to which it responds shall be sent to the petitioner, the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department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i w:val="false"/>
          <w:color w:val="000000"/>
          <w:sz w:val="22"/>
        </w:rPr>
        <w:t>11—6.10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 xml:space="preserve">The department may adopt a rule without publishing advance Notice of Intended Action in the Iowa Administrative Bulletin and without providing for written or oral public submissions prior to its adoption pursuant to Iowa Code section </w:t>
      </w:r>
      <w:hyperlink r:id="rId23">
        <w:r>
          <w:rPr>
            <w:rStyle w:val="Hyperlink"/>
            <w:rFonts w:ascii="Times New Roman" w:hAnsi="Times New Roman"/>
            <w:b w:val="false"/>
            <w:i w:val="false"/>
            <w:color w:val="000000"/>
            <w:sz w:val="22"/>
          </w:rPr>
          <w:t>17A.4(3)</w:t>
        </w:r>
      </w:hyperlink>
      <w:r>
        <w:rPr>
          <w:rFonts w:ascii="Times New Roman" w:hAnsi="Times New Roman"/>
          <w:b w:val="false"/>
          <w:i/>
          <w:color w:val="000000"/>
          <w:sz w:val="22"/>
        </w:rPr>
        <w:t>“a”</w:t>
      </w:r>
      <w:r>
        <w:rPr>
          <w:rFonts w:ascii="Times New Roman" w:hAnsi="Times New Roman"/>
          <w:b w:val="false"/>
          <w:i w:val="false"/>
          <w:color w:val="000000"/>
          <w:sz w:val="22"/>
        </w:rPr>
        <w:t xml:space="preserve"> when the statute so provides or with the approval of the administrative rules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department may, at any time, commence a standard rule-making proceeding for the adoption of a rule that is identical or similar to a rule it adopts in reliance upon subrule </w:t>
      </w:r>
      <w:hyperlink r:id="rId24">
        <w:r>
          <w:rPr>
            <w:rStyle w:val="Hyperlink"/>
            <w:rFonts w:ascii="Times New Roman" w:hAnsi="Times New Roman"/>
            <w:b w:val="false"/>
            <w:i w:val="false"/>
            <w:color w:val="000000"/>
            <w:sz w:val="22"/>
          </w:rPr>
          <w:t>6.10(1)</w:t>
        </w:r>
      </w:hyperlink>
      <w:r>
        <w:rPr>
          <w:rFonts w:ascii="Times New Roman" w:hAnsi="Times New Roman"/>
          <w:b w:val="false"/>
          <w:i w:val="false"/>
          <w:color w:val="000000"/>
          <w:sz w:val="22"/>
        </w:rPr>
        <w:t xml:space="preserve">. After a standard rule-making proceeding commenced pursuant to this subrule, the department may either readopt the rule it adopted without benefit of all usual procedures on the basis of subrule </w:t>
      </w:r>
      <w:hyperlink r:id="rId25">
        <w:r>
          <w:rPr>
            <w:rStyle w:val="Hyperlink"/>
            <w:rFonts w:ascii="Times New Roman" w:hAnsi="Times New Roman"/>
            <w:b w:val="false"/>
            <w:i w:val="false"/>
            <w:color w:val="000000"/>
            <w:sz w:val="22"/>
          </w:rPr>
          <w:t>6.10(1)</w:t>
        </w:r>
      </w:hyperlink>
      <w:r>
        <w:rPr>
          <w:rFonts w:ascii="Times New Roman" w:hAnsi="Times New Roman"/>
          <w:b w:val="false"/>
          <w:i w:val="false"/>
          <w:color w:val="000000"/>
          <w:sz w:val="22"/>
        </w:rPr>
        <w:t>, or may take any other lawful action, including the amendment or repeal of the rule in question, with whatever further proceedings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department shall issue a concise statement of reasons for the rule. Requests for such a statement must be in writing and be delivered to the Rules Administrator, Department of Administrative Services, Hoover State Office Building, Third Floor, Des Moines, Iowa 50319.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department’s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department shall issue a concise statement of reasons by the later of the time the rule is adopted or 35 days after receipt of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11—6.12</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department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department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such reasons are required by Iowa Code section </w:t>
      </w:r>
      <w:hyperlink r:id="rId26">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department in its discretion decides to include such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repealed,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such reasons are required by Iowa Code section </w:t>
      </w:r>
      <w:hyperlink r:id="rId27">
        <w:r>
          <w:rPr>
            <w:rStyle w:val="Hyperlink"/>
            <w:rFonts w:ascii="Times New Roman" w:hAnsi="Times New Roman"/>
            <w:b w:val="false"/>
            <w:i w:val="false"/>
            <w:color w:val="000000"/>
            <w:sz w:val="22"/>
          </w:rPr>
          <w:t>17A.4(1)</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the department in its discretion decides to include such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department may incorporate by reference in a proposed or adopted rule, and without causing publication of the incorporated matter in full, all or any part of a code, standard, rule, or other matter if the department finds that the incorporation of its text in the department proposed or adopted rule would be unduly cumbersome, expensive, or otherwise inexpedient. The reference in the department proposed or adopted rule shall fully and precisely identify the incorporated matter by location, title, citation, date, and edition, if any; shall briefly indicate the precise subject and the general contents of the incorporated matter; and shall state that the proposed or adopted rule does not include any later amendments or editions of the incorporated matter. The department may incorporate such matter by reference in a proposed or adopted rule only if the department makes copies of it readily available to the public. The rule shall state how and where copies of the incorporated matter may be obtained at cost from the department of administrative services, and how and where copies may be obtained from the agency of the United States, this state, another state, or the organization, association, or persons, originally issuing that matter. The department shall retain permanently a copy of any materials incorporated by reference in a rule of the department of administrative services.</w:t>
      </w:r>
    </w:p>
    <w:p>
      <w:pPr>
        <w:spacing w:before="0" w:after="0"/>
        <w:ind w:left="120"/>
        <w:jc w:val="both"/>
      </w:pPr>
      <w:r>
        <w:rPr>
          <w:rFonts w:ascii="Times New Roman" w:hAnsi="Times New Roman"/>
          <w:b w:val="false"/>
          <w:i w:val="false"/>
          <w:color w:val="000000"/>
          <w:sz w:val="22"/>
        </w:rPr>
        <w:t>If the department adopts standards by reference to another publication, it shall provide a copy of the publication containing the standards to the administrative rules coordinator for deposit in the state law library and may make the standards available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department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department. The department will provide a copy of that full text (at actual cost) upon request and shall make copies of the full text available for review at the state law library and may make the standards available electronically.</w:t>
      </w:r>
    </w:p>
    <w:p>
      <w:pPr>
        <w:spacing w:before="0" w:after="0"/>
        <w:ind w:left="120"/>
        <w:jc w:val="both"/>
      </w:pPr>
      <w:r>
        <w:rPr>
          <w:rFonts w:ascii="Times New Roman" w:hAnsi="Times New Roman"/>
          <w:b w:val="false"/>
          <w:i w:val="false"/>
          <w:color w:val="000000"/>
          <w:sz w:val="22"/>
        </w:rPr>
        <w:t>At the request of the administrative code editor, the department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color w:val="000000"/>
          <w:sz w:val="22"/>
        </w:rPr>
        <w:t xml:space="preserve">Style and form. </w:t>
      </w:r>
      <w:r>
        <w:rPr>
          <w:rFonts w:ascii="Times New Roman" w:hAnsi="Times New Roman"/>
          <w:b w:val="false"/>
          <w:i w:val="false"/>
          <w:color w:val="000000"/>
          <w:sz w:val="22"/>
        </w:rPr>
        <w:t>In preparing its rules, the department shall follow the uniform numbering system, form, and style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11—6.13</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department shall maintain an official rule-making record for each rule it proposes or adopts by publication in the Iowa Administrative Bulletin of a Notice of Intended Action. The rule-making record and materials incorporated by reference must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agency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 and any file-stamped copies of submissions to the administrative rules coordinator concerning that rule or the proceeding upon which it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any portions of the department’s public rule-making docket containing entries relating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department, and all other written materials of a factual nature and distinguished from opinion that are relevant to the merits of the rule and that were created or compiled by the department and considered by the chief information officer, in connection with the formulation, proposal, or adoption of the rule or the proceeding upon which the rule is based, except to the extent the department is authorized by law to keep them confidential; provided, however, that when any such materials are deleted because they are authorized by law to be kept confidential, the department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 prepared for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issuance of that rule without public notice and participation that was filed pursuant to Iowa Code section </w:t>
      </w:r>
      <w:hyperlink r:id="rId28">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by the administrative rules review committee, the governor, or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9">
        <w:r>
          <w:rPr>
            <w:rStyle w:val="Hyperlink"/>
            <w:rFonts w:ascii="Times New Roman" w:hAnsi="Times New Roman"/>
            <w:b w:val="false"/>
            <w:i w:val="false"/>
            <w:color w:val="000000"/>
            <w:sz w:val="22"/>
          </w:rPr>
          <w:t>17A.4(4)</w:t>
        </w:r>
      </w:hyperlink>
      <w:r>
        <w:rPr>
          <w:rFonts w:ascii="Times New Roman" w:hAnsi="Times New Roman"/>
          <w:b w:val="false"/>
          <w:i w:val="false"/>
          <w:color w:val="000000"/>
          <w:sz w:val="22"/>
        </w:rPr>
        <w:t>, and any department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department rule-making record required by this rule need not constitute the exclusive basis for department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 xml:space="preserve">The department shall maintain the rule-making record for a period of not less than five years from the later of the date the rule to which it pertains became effective, the date of the Notice of Intended Action, or the date of any written criticism as described in </w:t>
      </w:r>
      <w:hyperlink r:id="rId30">
        <w:r>
          <w:rPr>
            <w:rStyle w:val="Hyperlink"/>
            <w:rFonts w:ascii="Times New Roman" w:hAnsi="Times New Roman"/>
            <w:b w:val="false"/>
            <w:i w:val="false"/>
            <w:color w:val="000000"/>
            <w:sz w:val="22"/>
          </w:rPr>
          <w:t>6.13(2)</w:t>
        </w:r>
        <w:r>
          <w:rPr>
            <w:rFonts w:ascii="Times New Roman" w:hAnsi="Times New Roman"/>
            <w:b w:val="false"/>
            <w:i/>
            <w:color w:val="000000"/>
            <w:sz w:val="22"/>
          </w:rPr>
          <w:t xml:space="preserve">“g,” “h,” “i,” </w:t>
        </w:r>
        <w:r>
          <w:rPr>
            <w:rFonts w:ascii="Times New Roman" w:hAnsi="Times New Roman"/>
            <w:b w:val="false"/>
            <w:i w:val="false"/>
            <w:color w:val="000000"/>
            <w:sz w:val="22"/>
          </w:rPr>
          <w:t xml:space="preserve">or </w:t>
        </w:r>
        <w:r>
          <w:rPr>
            <w:rFonts w:ascii="Times New Roman" w:hAnsi="Times New Roman"/>
            <w:b w:val="false"/>
            <w:i/>
            <w:color w:val="000000"/>
            <w:sz w:val="22"/>
          </w:rPr>
          <w:t>“j.”</w:t>
        </w:r>
      </w:hyperlink>
    </w:p>
    <w:p>
      <w:pPr>
        <w:spacing w:before="210" w:after="0"/>
        <w:ind w:left="120"/>
        <w:jc w:val="both"/>
      </w:pPr>
      <w:r>
        <w:rPr>
          <w:rFonts w:ascii="Times New Roman" w:hAnsi="Times New Roman"/>
          <w:b/>
          <w:i w:val="false"/>
          <w:color w:val="000000"/>
          <w:sz w:val="22"/>
        </w:rPr>
        <w:t>11—6.14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department shall file each rule it adopts in the office of the administrative rules coordinator. The filing must be executed as soon after adoption of the rule as is practicable. At the time of filing, each rule must have attached to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note or statement is issued. In filing a rule, the department shall use the standard form prescribed by the administrative rules coordinator.</w:t>
      </w:r>
    </w:p>
    <w:p>
      <w:pPr>
        <w:spacing w:before="0" w:after="0"/>
        <w:ind w:left="120"/>
        <w:jc w:val="both"/>
      </w:pPr>
      <w:r>
        <w:rPr>
          <w:rFonts w:ascii="Times New Roman" w:hAnsi="Times New Roman"/>
          <w:b/>
          <w:i w:val="false"/>
          <w:color w:val="000000"/>
          <w:sz w:val="22"/>
        </w:rPr>
        <w:t>11—6.15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department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department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department makes a rule effective prior to its indexing and publication in reliance upon the provisions of Iowa Code section </w:t>
      </w:r>
      <w:hyperlink r:id="rId31">
        <w:r>
          <w:rPr>
            <w:rStyle w:val="Hyperlink"/>
            <w:rFonts w:ascii="Times New Roman" w:hAnsi="Times New Roman"/>
            <w:b w:val="false"/>
            <w:i w:val="false"/>
            <w:color w:val="000000"/>
            <w:sz w:val="22"/>
          </w:rPr>
          <w:t>17A.5(2)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the department shall employ all reasonable efforts to make its contents known to the persons who may be affected by that rule prior to the rule’s indexing and publication. The term “all reasonable efforts” requires the department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department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notices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32">
        <w:r>
          <w:rPr>
            <w:rStyle w:val="Hyperlink"/>
            <w:rFonts w:ascii="Times New Roman" w:hAnsi="Times New Roman"/>
            <w:b w:val="false"/>
            <w:i w:val="false"/>
            <w:color w:val="000000"/>
            <w:sz w:val="22"/>
          </w:rPr>
          <w:t>17A.5(2)</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shall include in that rule a statement describing the reasonable efforts that will be used to comply with the requirements of subrule </w:t>
      </w:r>
      <w:hyperlink r:id="rId33">
        <w:r>
          <w:rPr>
            <w:rStyle w:val="Hyperlink"/>
            <w:rFonts w:ascii="Times New Roman" w:hAnsi="Times New Roman"/>
            <w:b w:val="false"/>
            <w:i w:val="false"/>
            <w:color w:val="000000"/>
            <w:sz w:val="22"/>
          </w:rPr>
          <w:t>6.15(2)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11—6.16</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statements of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Compilation, indexing, public inspection. </w:t>
      </w:r>
      <w:r>
        <w:rPr>
          <w:rFonts w:ascii="Times New Roman" w:hAnsi="Times New Roman"/>
          <w:b w:val="false"/>
          <w:i w:val="false"/>
          <w:color w:val="000000"/>
          <w:sz w:val="22"/>
        </w:rPr>
        <w:t xml:space="preserve">The department shall maintain an official, current, and dated compilation that is indexed by subject, containing all of its general statements of policy within the scope of Iowa Code section </w:t>
      </w:r>
      <w:hyperlink r:id="rId34">
        <w:r>
          <w:rPr>
            <w:rStyle w:val="Hyperlink"/>
            <w:rFonts w:ascii="Times New Roman" w:hAnsi="Times New Roman"/>
            <w:b w:val="false"/>
            <w:i w:val="false"/>
            <w:color w:val="000000"/>
            <w:sz w:val="22"/>
          </w:rPr>
          <w:t>17A.2(11)</w:t>
        </w:r>
      </w:hyperlink>
      <w:r>
        <w:rPr>
          <w:rFonts w:ascii="Times New Roman" w:hAnsi="Times New Roman"/>
          <w:b w:val="false"/>
          <w:i/>
          <w:color w:val="000000"/>
          <w:sz w:val="22"/>
        </w:rPr>
        <w:t>“a,” “c,” “f,” “g,” “h,” “k.”</w:t>
      </w:r>
      <w:r>
        <w:rPr>
          <w:rFonts w:ascii="Times New Roman" w:hAnsi="Times New Roman"/>
          <w:b w:val="false"/>
          <w:i w:val="false"/>
          <w:color w:val="000000"/>
          <w:sz w:val="22"/>
        </w:rPr>
        <w:t xml:space="preserve"> Each addition to, change in, or deletion from the official compilation must also be dated, indexed, and a record thereof kept. Except for those portions containing rules governed by Iowa Code section </w:t>
      </w:r>
      <w:hyperlink r:id="rId35">
        <w:r>
          <w:rPr>
            <w:rStyle w:val="Hyperlink"/>
            <w:rFonts w:ascii="Times New Roman" w:hAnsi="Times New Roman"/>
            <w:b w:val="false"/>
            <w:i w:val="false"/>
            <w:color w:val="000000"/>
            <w:sz w:val="22"/>
          </w:rPr>
          <w:t>17A.2(11)</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otherwise authorized by law to be kept confidential, the compilation must be made available for public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requirements. </w:t>
      </w:r>
      <w:r>
        <w:rPr>
          <w:rFonts w:ascii="Times New Roman" w:hAnsi="Times New Roman"/>
          <w:b w:val="false"/>
          <w:i w:val="false"/>
          <w:color w:val="000000"/>
          <w:sz w:val="22"/>
        </w:rPr>
        <w:t xml:space="preserve">A general statement of policy subject to the requirements of this subsection shall not be relied on by the department to the detriment of any person who does not have actual, timely knowledge of the contents of the statement until the requirements of subrule </w:t>
      </w:r>
      <w:hyperlink r:id="rId36">
        <w:r>
          <w:rPr>
            <w:rStyle w:val="Hyperlink"/>
            <w:rFonts w:ascii="Times New Roman" w:hAnsi="Times New Roman"/>
            <w:b w:val="false"/>
            <w:i w:val="false"/>
            <w:color w:val="000000"/>
            <w:sz w:val="22"/>
          </w:rPr>
          <w:t>6.16(1)</w:t>
        </w:r>
      </w:hyperlink>
      <w:r>
        <w:rPr>
          <w:rFonts w:ascii="Times New Roman" w:hAnsi="Times New Roman"/>
          <w:b w:val="false"/>
          <w:i w:val="false"/>
          <w:color w:val="000000"/>
          <w:sz w:val="22"/>
        </w:rPr>
        <w:t xml:space="preserve"> are satisfied. This provision is inapplicable to the extent necessary to avoid imminent peril to the public health, safety, or welfare.</w:t>
      </w:r>
    </w:p>
    <w:p>
      <w:pPr>
        <w:spacing w:before="0" w:after="0"/>
        <w:ind w:left="120"/>
        <w:jc w:val="both"/>
      </w:pPr>
      <w:r>
        <w:rPr>
          <w:rFonts w:ascii="Times New Roman" w:hAnsi="Times New Roman"/>
          <w:b/>
          <w:i w:val="false"/>
          <w:color w:val="000000"/>
          <w:sz w:val="22"/>
        </w:rPr>
        <w:t>11—6.17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of rules by department. </w:t>
      </w:r>
      <w:r>
        <w:rPr>
          <w:rFonts w:ascii="Times New Roman" w:hAnsi="Times New Roman"/>
          <w:b w:val="false"/>
          <w:i w:val="false"/>
          <w:color w:val="000000"/>
          <w:sz w:val="22"/>
        </w:rPr>
        <w:t xml:space="preserve">Pursuant to Iowa Code section </w:t>
      </w:r>
      <w:hyperlink r:id="rId37">
        <w:r>
          <w:rPr>
            <w:rStyle w:val="Hyperlink"/>
            <w:rFonts w:ascii="Times New Roman" w:hAnsi="Times New Roman"/>
            <w:b w:val="false"/>
            <w:i w:val="false"/>
            <w:color w:val="000000"/>
            <w:sz w:val="22"/>
          </w:rPr>
          <w:t>17A.7(2)</w:t>
        </w:r>
      </w:hyperlink>
      <w:r>
        <w:rPr>
          <w:rFonts w:ascii="Times New Roman" w:hAnsi="Times New Roman"/>
          <w:b w:val="false"/>
          <w:i w:val="false"/>
          <w:color w:val="000000"/>
          <w:sz w:val="22"/>
        </w:rPr>
        <w:t xml:space="preserve"> beginning July 1, 2012, over each five-year period of time, the department shall conduct an ongoing and comprehensive review of the department’s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8">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11/6/03, Notice 10/1/03—published 11/26/03, effective 2/11/04]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7018C</w:t>
      </w:r>
      <w:r>
        <w:rPr>
          <w:rFonts w:ascii="Times New Roman" w:hAnsi="Times New Roman"/>
          <w:b w:val="false"/>
          <w:i w:val="false"/>
          <w:color w:val="000000"/>
          <w:sz w:val="21"/>
        </w:rPr>
        <w:t xml:space="preserve"> (Notice ARC 6883C, IAB 2/8/23)</w:t>
      </w:r>
      <w:r>
        <w:rPr>
          <w:rFonts w:ascii="Times New Roman" w:hAnsi="Times New Roman"/>
          <w:b w:val="false"/>
          <w:i w:val="false"/>
          <w:color w:val="000000"/>
          <w:sz w:val="21"/>
        </w:rPr>
        <w:t>, IAB 5/17/23, effective 6/21/23]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11.6.12.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4A.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A.pdf" Type="http://schemas.openxmlformats.org/officeDocument/2006/relationships/hyperlink" Id="rId19"/>
    <Relationship TargetMode="External" Target="https://www.legis.iowa.gov/docs/ico/chapter/17A.4A.pdf" Type="http://schemas.openxmlformats.org/officeDocument/2006/relationships/hyperlink" Id="rId20"/>
    <Relationship TargetMode="External" Target="https://www.legis.iowa.gov/docs/ico/chapter/17A.4A.pdf" Type="http://schemas.openxmlformats.org/officeDocument/2006/relationships/hyperlink" Id="rId21"/>
    <Relationship TargetMode="External" Target="https://www.legis.iowa.gov/docs/ico/chapter/25B.6.pdf" Type="http://schemas.openxmlformats.org/officeDocument/2006/relationships/hyperlink" Id="rId22"/>
    <Relationship TargetMode="External" Target="https://www.legis.iowa.gov/docs/ico/chapter/17A.4.pdf" Type="http://schemas.openxmlformats.org/officeDocument/2006/relationships/hyperlink" Id="rId23"/>
    <Relationship TargetMode="External" Target="https://www.legis.iowa.gov/docs/iac/rule/11.6.10.pdf" Type="http://schemas.openxmlformats.org/officeDocument/2006/relationships/hyperlink" Id="rId24"/>
    <Relationship TargetMode="External" Target="https://www.legis.iowa.gov/docs/iac/rule/11.6.10.pdf" Type="http://schemas.openxmlformats.org/officeDocument/2006/relationships/hyperlink" Id="rId25"/>
    <Relationship TargetMode="External" Target="https://www.legis.iowa.gov/docs/ico/chapter/17A.4.pdf" Type="http://schemas.openxmlformats.org/officeDocument/2006/relationships/hyperlink" Id="rId26"/>
    <Relationship TargetMode="External" Target="https://www.legis.iowa.gov/docs/ico/chapter/17A.4.pdf" Type="http://schemas.openxmlformats.org/officeDocument/2006/relationships/hyperlink" Id="rId27"/>
    <Relationship TargetMode="External" Target="https://www.legis.iowa.gov/docs/ico/chapter/17A.4.pdf" Type="http://schemas.openxmlformats.org/officeDocument/2006/relationships/hyperlink" Id="rId28"/>
    <Relationship TargetMode="External" Target="https://www.legis.iowa.gov/docs/ico/chapter/17A.4.pdf" Type="http://schemas.openxmlformats.org/officeDocument/2006/relationships/hyperlink" Id="rId29"/>
    <Relationship TargetMode="External" Target="https://www.legis.iowa.gov/docs/iac/rule/11.6.13.pdf" Type="http://schemas.openxmlformats.org/officeDocument/2006/relationships/hyperlink" Id="rId30"/>
    <Relationship TargetMode="External" Target="https://www.legis.iowa.gov/docs/ico/chapter/17A.5.pdf" Type="http://schemas.openxmlformats.org/officeDocument/2006/relationships/hyperlink" Id="rId31"/>
    <Relationship TargetMode="External" Target="https://www.legis.iowa.gov/docs/ico/chapter/17A.5.pdf" Type="http://schemas.openxmlformats.org/officeDocument/2006/relationships/hyperlink" Id="rId32"/>
    <Relationship TargetMode="External" Target="https://www.legis.iowa.gov/docs/iac/rule/11.6.15.pdf" Type="http://schemas.openxmlformats.org/officeDocument/2006/relationships/hyperlink" Id="rId33"/>
    <Relationship TargetMode="External" Target="https://www.legis.iowa.gov/docs/ico/chapter/17A.2.pdf" Type="http://schemas.openxmlformats.org/officeDocument/2006/relationships/hyperlink" Id="rId34"/>
    <Relationship TargetMode="External" Target="https://www.legis.iowa.gov/docs/ico/chapter/17A.2.pdf" Type="http://schemas.openxmlformats.org/officeDocument/2006/relationships/hyperlink" Id="rId35"/>
    <Relationship TargetMode="External" Target="https://www.legis.iowa.gov/docs/iac/rule/11.6.16.pdf" Type="http://schemas.openxmlformats.org/officeDocument/2006/relationships/hyperlink" Id="rId36"/>
    <Relationship TargetMode="External" Target="https://www.legis.iowa.gov/docs/ico/chapter/17A.7.pdf" Type="http://schemas.openxmlformats.org/officeDocument/2006/relationships/hyperlink" Id="rId37"/>
    <Relationship TargetMode="External" Target="https://www.legis.iowa.gov/docs/ico/chapter/8A.pdf" Type="http://schemas.openxmlformats.org/officeDocument/2006/relationships/hyperlink" Id="rId38"/>
    <Relationship TargetMode="External" Target="https://www.legis.iowa.gov/docs/ico/chapter/17A.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