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11—5.1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Any person or agency may file a petition for adoption of rules or request for review of rules with the Department of Administrative Services, Office of the Director, Hoover State Office Building, Third Floor, Des Moines, Iowa 50319. A petition is deemed filed when it is received by the department. The department shall provide the petitioner with a file-stamped copy of the petition if the petitioner provides the department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DEPARTMENT OF ADMINISTRATIVE SERVICES </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 repeal)</w:t>
            </w:r>
          </w:p>
          <w:p>
            <w:pPr>
              <w:spacing w:before="0" w:after="0"/>
              <w:ind w:left="160"/>
              <w:jc w:val="left"/>
            </w:pPr>
            <w:r>
              <w:rPr>
                <w:rFonts w:ascii="Times New Roman" w:hAnsi="Times New Roman"/>
                <w:b w:val="false"/>
                <w:i w:val="false"/>
                <w:color w:val="000000"/>
                <w:sz w:val="16"/>
              </w:rPr>
              <w:t>of rules relating to (state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any law deemed relevant to the department’s authority to take the action urged or to the desirability of that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request by petitioner for a meeting provided for by rule </w:t>
      </w:r>
      <w:hyperlink r:id="rId5">
        <w:r>
          <w:rPr>
            <w:rStyle w:val="Hyperlink"/>
            <w:rFonts w:ascii="Times New Roman" w:hAnsi="Times New Roman"/>
            <w:b w:val="false"/>
            <w:i w:val="false"/>
            <w:color w:val="000000"/>
            <w:sz w:val="22"/>
          </w:rPr>
          <w:t>11—5.4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director may deny a petition because it does not substantially conform to the required form. Denial of a petition because it does not substantially conform to the required form does not preclude the filing of a new petition on the same subject that seeks to eliminate the grounds for the department’s rejection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color w:val="000000"/>
          <w:sz w:val="22"/>
        </w:rPr>
        <w:t xml:space="preserve">Submission to administrative rules review committee. </w:t>
      </w:r>
      <w:r>
        <w:rPr>
          <w:rFonts w:ascii="Times New Roman" w:hAnsi="Times New Roman"/>
          <w:b w:val="false"/>
          <w:i w:val="false"/>
          <w:color w:val="000000"/>
          <w:sz w:val="22"/>
        </w:rPr>
        <w:t>The department shall submit a petition for rule making and the department’s disposition of the petition to the administrative rules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5512C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11—5.2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director may request a brief from the petitioner or from any other person concerning the substance of the petition.</w:t>
      </w:r>
    </w:p>
    <w:p>
      <w:pPr>
        <w:spacing w:before="210" w:after="0"/>
        <w:ind w:left="120"/>
        <w:jc w:val="both"/>
      </w:pPr>
      <w:r>
        <w:rPr>
          <w:rFonts w:ascii="Times New Roman" w:hAnsi="Times New Roman"/>
          <w:b/>
          <w:i w:val="false"/>
          <w:color w:val="000000"/>
          <w:sz w:val="22"/>
        </w:rPr>
        <w:t>11—5.3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director at the offices of the department.</w:t>
      </w:r>
    </w:p>
    <w:p>
      <w:pPr>
        <w:spacing w:before="0" w:after="0"/>
        <w:ind w:left="120"/>
        <w:jc w:val="both"/>
      </w:pPr>
      <w:r>
        <w:rPr>
          <w:rFonts w:ascii="Times New Roman" w:hAnsi="Times New Roman"/>
          <w:b/>
          <w:i w:val="false"/>
          <w:color w:val="000000"/>
          <w:sz w:val="22"/>
        </w:rPr>
        <w:t>11—5.4</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Upon request by petitioner in the petition, the department must schedule a brief and informal meeting between the petitioner and the department to discuss the petition. The department may request the petitioner to submit additional information or argument concerning the petition. The department may also solicit comments from any person on the substance of the petition. Also, comments on the substance of the petition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department must, in writing, deny the petition, and notify petitioner of its action and the specific grounds for the denial, or grant the petition and notify petitioner that it has instituted rule-making proceedings on the subject of the petition. The petitioner shall be deemed notified of the denial or grant of the petition on the date when the department mails or delivers the required notification to the petitioner.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5512C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11/6/03, Notice 10/1/03—published 11/26/03,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5512C</w:t>
      </w:r>
      <w:r>
        <w:rPr>
          <w:rFonts w:ascii="Times New Roman" w:hAnsi="Times New Roman"/>
          <w:b w:val="false"/>
          <w:i w:val="false"/>
          <w:color w:val="000000"/>
          <w:sz w:val="21"/>
        </w:rPr>
        <w:t xml:space="preserve"> (Notice ARC 5378C,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5.4.pdf" Type="http://schemas.openxmlformats.org/officeDocument/2006/relationships/hyperlink" Id="rId5"/>
    <Relationship TargetMode="External" Target="https://www.legis.iowa.gov/docs/ico/chapter/8A.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