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OSHA DISCRIMINATION AGAINST EMPLOYEES</w:t>
      </w:r>
    </w:p>
    <w:p>
      <w:pPr>
        <w:spacing w:before="0" w:after="0"/>
        <w:ind w:left="120"/>
        <w:jc w:val="center"/>
      </w:pPr>
      <w:r>
        <w:rPr>
          <w:rFonts w:ascii="Times New Roman" w:hAnsi="Times New Roman"/>
          <w:b w:val="false"/>
          <w:i w:val="false"/>
          <w:color w:val="000000"/>
          <w:sz w:val="14"/>
        </w:rPr>
        <w:t>[Previously Ch 8 IAC renumbered 12/24/80]</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9]</w:t>
      </w:r>
    </w:p>
    <w:p>
      <w:pPr>
        <w:spacing w:before="0" w:after="0"/>
        <w:ind w:left="120"/>
        <w:jc w:val="both"/>
      </w:pPr>
      <w:r>
        <w:rPr>
          <w:rFonts w:ascii="Times New Roman" w:hAnsi="Times New Roman"/>
          <w:b/>
          <w:i w:val="false"/>
          <w:color w:val="000000"/>
          <w:sz w:val="22"/>
        </w:rPr>
        <w:t>875—9.1</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and proceedings under or related to the Iowa occupational safety and health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about occupational safety and health, if made in good faith, are related to the Iowa occupational safety and health Act, Iowa Code chapter </w:t>
      </w:r>
      <w:hyperlink r:id="rId4">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hereinafter referred to as the Act, and an employee is protected against discharge or discrimination caused by a complaint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If an employee, with no reasonable alternative, refuses in good faith to be exposed to a dangerous condition, the employee is protected against subsequent discrimination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employee’s apprehension of death or injury must be of such a nature that a reasonable person, under the circumstances then confronting the employee, would conclude that there is a real danger of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where possible, first sought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Eliminate the danger through resorting to regular statutory enforcement channels unless there has been insufficient time due to the urgency of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employer a correction of the dangerous condition but was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of, or discrimination against, any employee because the employee “has testified or is about to testify” in proceedings under or related to the Act extends to any statements given in the course of judicial, quasi-judicial, and administrative proceedings, including inspections, investigations, and administrative rulemaking or adjudicative functions. If the employee is giving or is about to give testimony in any proceeding under or related to the Act, the employee would be protected against discrimination resulting from such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need not directly institute the proceedings. It is sufficient if the employee sets into motion activities of others that result in proceedings under or related to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failure to pay employees for time during which the employees are engaged in walkaround inspections or in other inspection-related activities, such as responding to questions of compliance officers or participating in the opening and closing conferences, is discriminatory under Iowa Code section </w:t>
      </w:r>
      <w:hyperlink r:id="rId5">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so long as neither the number of employees participating nor the time required to express employee concerns is excessive.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employee’s engagement in protected activity need not be the sole consideration behind discharge or other adverse action. If protected activity was a substantial reason for the action, or if the discharge or other adverse action would not have taken place “but for” engagement in protected activity, Iowa Code section </w:t>
      </w:r>
      <w:hyperlink r:id="rId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has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Iowa Code section </w:t>
      </w:r>
      <w:hyperlink r:id="rId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are not limited to actions taken by employers against their own employees. A person may be chargeable with discriminatory action against an employee of another person. Iowa Code section </w:t>
      </w:r>
      <w:hyperlink r:id="rId8">
        <w:r>
          <w:rPr>
            <w:rStyle w:val="Hyperlink"/>
            <w:rFonts w:ascii="Times New Roman" w:hAnsi="Times New Roman"/>
            <w:b w:val="false"/>
            <w:i w:val="false"/>
            <w:color w:val="000000"/>
            <w:sz w:val="22"/>
          </w:rPr>
          <w:t>88.9(3) </w:t>
        </w:r>
      </w:hyperlink>
      <w:r>
        <w:rPr>
          <w:rFonts w:ascii="Times New Roman" w:hAnsi="Times New Roman"/>
          <w:b w:val="false"/>
          <w:i w:val="false"/>
          <w:color w:val="000000"/>
          <w:sz w:val="22"/>
        </w:rPr>
        <w:t>extends to such entities as organizations representing employees for collective bargaining purposes, employment agencies, or any other person in a position to discriminate against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875—9.2</w:t>
      </w:r>
      <w:r>
        <w:rPr>
          <w:rFonts w:ascii="Times New Roman" w:hAnsi="Times New Roman"/>
          <w:b/>
          <w:i w:val="false"/>
          <w:color w:val="000000"/>
          <w:sz w:val="22"/>
        </w:rPr>
        <w:t xml:space="preserve">(88)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taken by an employer or others that adversely affect an employee may be predicated upon nondiscriminatory grounds. The proscriptions of Iowa Code section </w:t>
      </w:r>
      <w:hyperlink r:id="rId9">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apply when the adverse action occurs because the employee has engaged in protected activities. An employee’s engagement in activities protected by the Act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would not ordinarily be in violation of Iowa Code section </w:t>
      </w:r>
      <w:hyperlink r:id="rId10">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by taking action to discipline an employee for refusing to perform normal job activities because of alleged safety or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Disciplinary measures taken by employers solely in response to employee refusal to comply with appropriate safety rules and regulations will not ordinarily be regarded as discriminatory action prohibited by Iowa Code section </w:t>
      </w:r>
      <w:hyperlink r:id="rId1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w:t>
      </w:r>
      <w:r>
        <w:rPr>
          <w:rFonts w:ascii="Times New Roman" w:hAnsi="Times New Roman"/>
          <w:b/>
          <w:i w:val="false"/>
          <w:color w:val="000000"/>
          <w:sz w:val="22"/>
        </w:rPr>
        <w:t xml:space="preserve">(88) </w:t>
      </w:r>
      <w:r>
        <w:rPr>
          <w:rFonts w:ascii="Times New Roman" w:hAnsi="Times New Roman"/>
          <w:b/>
          <w:i w:val="false"/>
          <w:color w:val="000000"/>
          <w:sz w:val="22"/>
        </w:rPr>
        <w:t xml:space="preserve">Filing of complaint for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of Iowa Code section </w:t>
      </w:r>
      <w:hyperlink r:id="rId12">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discrimination may be filed by the employee or by a representative authorized to do so on the employee’s behalf. No particular form of complaint is required. A complaint should be filed with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 (e.g., where the employer has concealed or misled the employee regarding the grounds for discharge or other adverse action or where the discrimination is in the nature of a continuing violation). The pendency of grievance-arbitration proceedings or filing with another agency, among others, are circumstances that do not justify tolling of the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Withdrawal of complaint. Attempts by an employee to withdraw a previously filed complaint will not necessarily result in termination of the labor commissioner’s investigation. However, a voluntary and uncoerced request from a complainant to withdraw the complaint will be given careful consideration and substantial weight.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determination. </w:t>
      </w:r>
      <w:r>
        <w:rPr>
          <w:rFonts w:ascii="Times New Roman" w:hAnsi="Times New Roman"/>
          <w:b w:val="false"/>
          <w:i w:val="false"/>
          <w:color w:val="000000"/>
          <w:sz w:val="22"/>
        </w:rPr>
        <w:t>Iowa Code section </w:t>
      </w:r>
      <w:hyperlink r:id="rId13">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provides that within 90 days of the filing of a complaint, the labor commissioner is to notify a complainant whether prohibited discrimination occurred. This 90-day provision is considered to be directory in 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875—9.5</w:t>
      </w:r>
      <w:r>
        <w:rPr>
          <w:rFonts w:ascii="Times New Roman" w:hAnsi="Times New Roman"/>
          <w:b/>
          <w:i w:val="false"/>
          <w:color w:val="000000"/>
          <w:sz w:val="22"/>
        </w:rPr>
        <w:t xml:space="preserve">(88) </w:t>
      </w:r>
      <w:r>
        <w:rPr>
          <w:rFonts w:ascii="Times New Roman" w:hAnsi="Times New Roman"/>
          <w:b/>
          <w:i w:val="false"/>
          <w:color w:val="000000"/>
          <w:sz w:val="22"/>
        </w:rPr>
        <w:t xml:space="preserve">Arbitration or other agency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commissioner’s jurisdiction to entertain complaints related to Iowa Code section </w:t>
      </w:r>
      <w:hyperlink r:id="rId14">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complaints is independent of the jurisdiction of the other agencies or bodies. The labor commissioner may file action in district court regardless of the pendency of other proceedings. However, due deference should be paid to the jurisdiction of other forums established to resolve disputes that may also be related to complaints under Iowa Code section </w:t>
      </w:r>
      <w:hyperlink r:id="rId15">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 xml:space="preserve">Postponement of determination is justified where the rights asserted in other proceedings are substantially the same as rights under Iowa Code section </w:t>
      </w:r>
      <w:hyperlink r:id="rId1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A determination to defer to the outcome of other proceedings initiated by a complainant must necessarily be made on a case-to-case basis, after careful scrutiny of all available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4/27/79, Notice 11/29/78—published 5/16/79, effective 6/25/79]</w:t>
      </w:r>
    </w:p>
    <w:p>
      <w:pPr>
        <w:spacing w:before="0" w:after="0"/>
        <w:ind w:left="120"/>
        <w:jc w:val="center"/>
      </w:pPr>
      <w:r>
        <w:rPr>
          <w:rFonts w:ascii="Times New Roman" w:hAnsi="Times New Roman"/>
          <w:b w:val="false"/>
          <w:i w:val="false"/>
          <w:color w:val="000000"/>
          <w:sz w:val="21"/>
        </w:rPr>
        <w:t>[Filed emergency 5/11/79—published 5/30/79, effective 6/25/79]</w:t>
      </w:r>
    </w:p>
    <w:p>
      <w:pPr>
        <w:spacing w:before="0" w:after="0"/>
        <w:ind w:left="120"/>
        <w:jc w:val="center"/>
      </w:pPr>
      <w:r>
        <w:rPr>
          <w:rFonts w:ascii="Times New Roman" w:hAnsi="Times New Roman"/>
          <w:b w:val="false"/>
          <w:i w:val="false"/>
          <w:color w:val="000000"/>
          <w:sz w:val="21"/>
        </w:rPr>
        <w:t>[Filed emergency 6/8/79—published 6/27/79, effective 6/25/79]</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1/21/00, Notice 8/25/99—published 2/9/00, effective 3/15/00]</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8449C</w:t>
      </w:r>
      <w:r>
        <w:rPr>
          <w:rFonts w:ascii="Times New Roman" w:hAnsi="Times New Roman"/>
          <w:b w:val="false"/>
          <w:i w:val="false"/>
          <w:color w:val="000000"/>
          <w:sz w:val="21"/>
        </w:rPr>
        <w:t xml:space="preserve"> (Notice ARC 8254C, IAB 10/16/24)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8.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8.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co/chapter/88.pdf" Type="http://schemas.openxmlformats.org/officeDocument/2006/relationships/hyperlink" Id="rId9"/>
    <Relationship TargetMode="External" Target="https://www.legis.iowa.gov/docs/ico/chapter/88.pdf" Type="http://schemas.openxmlformats.org/officeDocument/2006/relationships/hyperlink" Id="rId10"/>
    <Relationship TargetMode="External" Target="https://www.legis.iowa.gov/docs/ico/chapter/88.pdf" Type="http://schemas.openxmlformats.org/officeDocument/2006/relationships/hyperlink" Id="rId11"/>
    <Relationship TargetMode="External" Target="https://www.legis.iowa.gov/docs/ico/chapter/88.pdf" Type="http://schemas.openxmlformats.org/officeDocument/2006/relationships/hyperlink" Id="rId12"/>
    <Relationship TargetMode="External" Target="https://www.legis.iowa.gov/docs/ico/chapter/88.pdf" Type="http://schemas.openxmlformats.org/officeDocument/2006/relationships/hyperlink" Id="rId13"/>
    <Relationship TargetMode="External" Target="https://www.legis.iowa.gov/docs/ico/chapter/88.pdf" Type="http://schemas.openxmlformats.org/officeDocument/2006/relationships/hyperlink" Id="rId14"/>
    <Relationship TargetMode="External" Target="https://www.legis.iowa.gov/docs/ico/chapter/88.pdf" Type="http://schemas.openxmlformats.org/officeDocument/2006/relationships/hyperlink" Id="rId15"/>
    <Relationship TargetMode="External" Target="https://www.legis.iowa.gov/docs/ico/chapter/88.pdf" Type="http://schemas.openxmlformats.org/officeDocument/2006/relationships/hyperlink" Id="rId16"/>
    <Relationship TargetMode="External" Target="https://www.legis.iowa.gov/docs/ico/chapter/84A.pdf" Type="http://schemas.openxmlformats.org/officeDocument/2006/relationships/hyperlink" Id="rId17"/>
    <Relationship TargetMode="External" Target="https://www.legis.iowa.gov/docs/ico/chapter/84A.pdf" Type="http://schemas.openxmlformats.org/officeDocument/2006/relationships/hyperlink" Id="rId18"/>
    <Relationship TargetMode="External" Target="https://www.legis.iowa.gov/docs/ico/chapter/88.pdf" Type="http://schemas.openxmlformats.org/officeDocument/2006/relationships/hyperlink" Id="rId19"/>
    <Relationship TargetMode="External" Target="https://www.legis.iowa.gov/docs/ico/chapter/88.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