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CONVEYANCES INSTALLED PRIOR TO JANUARY 1, 1975</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73]</w:t>
      </w:r>
    </w:p>
    <w:p>
      <w:pPr>
        <w:spacing w:before="0" w:after="0"/>
        <w:ind w:left="120"/>
        <w:jc w:val="both"/>
      </w:pPr>
      <w:r>
        <w:rPr>
          <w:rFonts w:ascii="Times New Roman" w:hAnsi="Times New Roman"/>
          <w:b/>
          <w:i w:val="false"/>
          <w:color w:val="000000"/>
          <w:sz w:val="22"/>
        </w:rPr>
        <w:t>875—73.1</w:t>
      </w:r>
      <w:r>
        <w:rPr>
          <w:rFonts w:ascii="Times New Roman" w:hAnsi="Times New Roman"/>
          <w:b/>
          <w:i w:val="false"/>
          <w:color w:val="000000"/>
          <w:sz w:val="22"/>
        </w:rPr>
        <w:t xml:space="preserve">(89A) </w:t>
      </w:r>
      <w:r>
        <w:rPr>
          <w:rFonts w:ascii="Times New Roman" w:hAnsi="Times New Roman"/>
          <w:b/>
          <w:i w:val="false"/>
          <w:color w:val="000000"/>
          <w:sz w:val="22"/>
        </w:rPr>
        <w:t xml:space="preserve">Scope, definitions, and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minimum safety standards for all conveyances installed prior to January 1, 1975, except material lift elevators. Conveyances installed on or after January 1, 1975, shall conform with the requirements set forth in </w:t>
      </w:r>
      <w:hyperlink r:id="rId4">
        <w:r>
          <w:rPr>
            <w:rStyle w:val="Hyperlink"/>
            <w:rFonts w:ascii="Times New Roman" w:hAnsi="Times New Roman"/>
            <w:b w:val="false"/>
            <w:i w:val="false"/>
            <w:color w:val="000000"/>
            <w:sz w:val="22"/>
          </w:rPr>
          <w:t>875—Chapter 72</w:t>
        </w:r>
      </w:hyperlink>
      <w:r>
        <w:rPr>
          <w:rFonts w:ascii="Times New Roman" w:hAnsi="Times New Roman"/>
          <w:b w:val="false"/>
          <w:i w:val="false"/>
          <w:color w:val="000000"/>
          <w:sz w:val="22"/>
        </w:rPr>
        <w:t xml:space="preserve">. Material lift elevators installed prior to January 1, 1975, are not subject to regulation pursuant to Iowa Code section </w:t>
      </w:r>
      <w:hyperlink r:id="rId5">
        <w:r>
          <w:rPr>
            <w:rStyle w:val="Hyperlink"/>
            <w:rFonts w:ascii="Times New Roman" w:hAnsi="Times New Roman"/>
            <w:b w:val="false"/>
            <w:i w:val="false"/>
            <w:color w:val="000000"/>
            <w:sz w:val="22"/>
          </w:rPr>
          <w:t>89A.2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contained in American National Standard Safety Code for Elevators, Dumbwaiters, Escalators, and Moving Walks, A17.1 (1971), are applicable as used in this chapter to the extent that they do not conflict with the definitions contained in Iowa Code chapter </w:t>
      </w:r>
      <w:hyperlink r:id="rId6">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875—Chapter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w:t>
      </w:r>
      <w:r>
        <w:rPr>
          <w:rFonts w:ascii="Times New Roman" w:hAnsi="Times New Roman"/>
          <w:b w:val="false"/>
          <w:i w:val="false"/>
          <w:color w:val="000000"/>
          <w:sz w:val="22"/>
        </w:rPr>
        <w:t> </w:t>
      </w:r>
      <w:r>
        <w:rPr>
          <w:rFonts w:ascii="Times New Roman" w:hAnsi="Times New Roman"/>
          <w:b w:val="false"/>
          <w:i w:val="false"/>
          <w:color w:val="000000"/>
          <w:sz w:val="22"/>
        </w:rPr>
        <w:t>Except as noted in this rule, the American Society of Mechanical Engineers Safety Code for Existing Elevators and Escalators, A17.3 (2011), is adopted by reference with an enforcement date of May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code provision that is more restrictive than A17.3 (2011) applied to a conveyance when the conveyance was installed, the more restrictive provision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A17.3 (2011) Part X applies to handicapped restricted use elevators without regard to the scope of provisions set forth in A17.3 (2011) Part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A17.3 (2011) that require installation of a new controller to implement Phase 1 and Phase 2 fire service or car top operation are not adopted by reference and will not be enforced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A17.3 (2011), Rule 2.3.2, is intended to prevent the accumulation of sewer gas in an elevator pit and does not require the addition of a drain pipe in an existing pit. An air gap in an existing drain pipe is adequate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substitutes for the final sentence of A17.3 (2011), Rule 2.1.5(b): “Previously installed 60-inch chains are deemed to be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elevator that was legally installed with guide rails made of materials other than steel is not required to replace the guide rails due to the adoption of A17.3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Electrical protective devices required by A17.3, requirement 3.10.4, shall cause the electric power to be removed from the elevator driving-machine motor and brake.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Control panels that are designed with a door or cover and lock shall be locked when service is not being performed if equipment unrelated to the elevator is in the machine room. Group 1 security as set forth in A17.1, section 8.1, shall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car top emergency exit pursuant to A</w:t>
      </w:r>
      <w:r>
        <w:rPr>
          <w:rFonts w:ascii="Times New Roman" w:hAnsi="Times New Roman"/>
          <w:b w:val="false"/>
          <w:i w:val="false"/>
          <w:color w:val="000000"/>
          <w:sz w:val="22"/>
        </w:rPr>
        <w:t>17.3 (2011)</w:t>
      </w:r>
      <w:r>
        <w:rPr>
          <w:rFonts w:ascii="Times New Roman" w:hAnsi="Times New Roman"/>
          <w:b w:val="false"/>
          <w:i w:val="false"/>
          <w:color w:val="000000"/>
          <w:sz w:val="22"/>
        </w:rPr>
        <w:t>, requirement 3.4.4.1(a), is not required for a hydraulic elevator if the elevator has manual lowering and it is not equipped with a plunger gripper or safety as described in ASME A</w:t>
      </w:r>
      <w:r>
        <w:rPr>
          <w:rFonts w:ascii="Times New Roman" w:hAnsi="Times New Roman"/>
          <w:b w:val="false"/>
          <w:i w:val="false"/>
          <w:color w:val="000000"/>
          <w:sz w:val="22"/>
        </w:rPr>
        <w:t>17.1 (2013)</w:t>
      </w:r>
      <w:r>
        <w:rPr>
          <w:rFonts w:ascii="Times New Roman" w:hAnsi="Times New Roman"/>
          <w:b w:val="false"/>
          <w:i w:val="false"/>
          <w:color w:val="000000"/>
          <w:sz w:val="22"/>
        </w:rPr>
        <w:t>, requirement 8.6.5.8.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w:t>
      </w:r>
      <w:r>
        <w:rPr>
          <w:rFonts w:ascii="Times New Roman" w:hAnsi="Times New Roman"/>
          <w:b w:val="false"/>
          <w:i w:val="false"/>
          <w:color w:val="000000"/>
          <w:sz w:val="22"/>
        </w:rPr>
        <w:t> </w:t>
      </w:r>
      <w:r>
        <w:rPr>
          <w:rFonts w:ascii="Times New Roman" w:hAnsi="Times New Roman"/>
          <w:b w:val="false"/>
          <w:i w:val="false"/>
          <w:color w:val="000000"/>
          <w:sz w:val="22"/>
        </w:rPr>
        <w:t>The American Society of Mechanical Engineers Safety Code for Elevators and Escalators, A17.1-2013/CSA B44-13 (2013), Rule 2.14.7.1.4, concerning car top lighting and car top electrical outlets, is adopted by reference with an effective date of May 1, 2021. However, if a car top already has a single outlet, installation of a duplex outlet will not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875—73.2</w:t>
      </w:r>
      <w:r>
        <w:rPr>
          <w:rFonts w:ascii="Times New Roman" w:hAnsi="Times New Roman"/>
          <w:b/>
          <w:i w:val="false"/>
          <w:color w:val="000000"/>
          <w:sz w:val="22"/>
        </w:rPr>
        <w:t xml:space="preserve">(89A) </w:t>
      </w:r>
      <w:r>
        <w:rPr>
          <w:rFonts w:ascii="Times New Roman" w:hAnsi="Times New Roman"/>
          <w:b/>
          <w:i w:val="false"/>
          <w:color w:val="000000"/>
          <w:sz w:val="22"/>
        </w:rPr>
        <w:t xml:space="preserve">Electrical protective devices. </w:t>
      </w:r>
      <w:r>
        <w:rPr>
          <w:rFonts w:ascii="Times New Roman" w:hAnsi="Times New Roman"/>
          <w:b w:val="false"/>
          <w:i w:val="false"/>
          <w:color w:val="000000"/>
          <w:sz w:val="22"/>
        </w:rPr>
        <w:t>All electrical equipment pertaining to the elevator shall conform to ANSI C1-1975 (NFPA 70-1975).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875—73.3</w:t>
      </w:r>
      <w:r>
        <w:rPr>
          <w:rFonts w:ascii="Times New Roman" w:hAnsi="Times New Roman"/>
          <w:b/>
          <w:i w:val="false"/>
          <w:color w:val="000000"/>
          <w:sz w:val="22"/>
        </w:rPr>
        <w:t xml:space="preserve">(89A) </w:t>
      </w:r>
      <w:r>
        <w:rPr>
          <w:rFonts w:ascii="Times New Roman" w:hAnsi="Times New Roman"/>
          <w:b/>
          <w:i w:val="false"/>
          <w:color w:val="000000"/>
          <w:sz w:val="22"/>
        </w:rPr>
        <w:t xml:space="preserve">Maintenance, repair and alteration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set forth in this rule, all maintenance, repairs and alterations comply with the edition of ASME A17.1, Part 8, currently adopted for new conveyances or ASME A17.7-2007/CSA B44-07, as applicable. Alterations that require that the entire conveyance be brought into compliance with the most current code are described in </w:t>
      </w:r>
      <w:hyperlink r:id="rId8">
        <w:r>
          <w:rPr>
            <w:rStyle w:val="Hyperlink"/>
            <w:rFonts w:ascii="Times New Roman" w:hAnsi="Times New Roman"/>
            <w:b w:val="false"/>
            <w:i w:val="false"/>
            <w:color w:val="000000"/>
            <w:sz w:val="22"/>
          </w:rPr>
          <w:t>875—Chapter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color w:val="000000"/>
          <w:sz w:val="22"/>
        </w:rPr>
        <w:t xml:space="preserve">Exemption for button numbering. </w:t>
      </w:r>
      <w:r>
        <w:rPr>
          <w:rFonts w:ascii="Times New Roman" w:hAnsi="Times New Roman"/>
          <w:b w:val="false"/>
          <w:i w:val="false"/>
          <w:color w:val="000000"/>
          <w:sz w:val="22"/>
        </w:rPr>
        <w:t>All maintenance, repairs and alterations to devices covered by ANSI A117.1 comply with ANSI A117.1 (2017), except for requirement 407.4.7.1.2.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w:t>
      </w:r>
      <w:r>
        <w:rPr>
          <w:rFonts w:ascii="Times New Roman" w:hAnsi="Times New Roman"/>
          <w:b w:val="false"/>
          <w:i w:val="false"/>
          <w:color w:val="000000"/>
          <w:sz w:val="22"/>
        </w:rPr>
        <w:t> </w:t>
      </w:r>
      <w:r>
        <w:rPr>
          <w:rFonts w:ascii="Times New Roman" w:hAnsi="Times New Roman"/>
          <w:b w:val="false"/>
          <w:i/>
          <w:color w:val="000000"/>
          <w:sz w:val="22"/>
        </w:rPr>
        <w:t xml:space="preserve">Sump pump exemption. </w:t>
      </w:r>
      <w:r>
        <w:rPr>
          <w:rFonts w:ascii="Times New Roman" w:hAnsi="Times New Roman"/>
          <w:b w:val="false"/>
          <w:i w:val="false"/>
          <w:color w:val="000000"/>
          <w:sz w:val="22"/>
        </w:rPr>
        <w:t>The provisions of ASME A17.1 that require a pit sump or drain do not apply to an elevator alteration when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groundwater has not entered the pit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and geology of the building indicate a likelihood that groundwater would enter the pit if the foundation or pit floor were breached to install the pit sump or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alternative means to maintain the pit in a dry condition is provided to the director with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approves the alternative means to maintain the pit in a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alternative means to maintain the pit in a dry condition are installed or implemented as described in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73.3(4)</w:t>
      </w:r>
      <w:r>
        <w:rPr>
          <w:rFonts w:ascii="Times New Roman" w:hAnsi="Times New Roman"/>
          <w:b w:val="false"/>
          <w:i w:val="false"/>
          <w:color w:val="000000"/>
          <w:sz w:val="22"/>
        </w:rPr>
        <w:t> </w:t>
      </w:r>
      <w:r>
        <w:rPr>
          <w:rFonts w:ascii="Times New Roman" w:hAnsi="Times New Roman"/>
          <w:b w:val="false"/>
          <w:i/>
          <w:color w:val="000000"/>
          <w:sz w:val="22"/>
        </w:rPr>
        <w:t xml:space="preserve">Pit excavation exemption. </w:t>
      </w:r>
      <w:r>
        <w:rPr>
          <w:rFonts w:ascii="Times New Roman" w:hAnsi="Times New Roman"/>
          <w:b w:val="false"/>
          <w:i w:val="false"/>
          <w:color w:val="000000"/>
          <w:sz w:val="22"/>
        </w:rPr>
        <w:t>The full length of the platform guard set forth in ASME A17.1, Rule 2.15.9.2(a), is not required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full-length platform guard would strike the pit floor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clearance between the bottom of the platform guard and the pit floor is 2.5 centimeters (1 inch)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73.3(5)</w:t>
      </w:r>
      <w:r>
        <w:rPr>
          <w:rFonts w:ascii="Times New Roman" w:hAnsi="Times New Roman"/>
          <w:b w:val="false"/>
          <w:i w:val="false"/>
          <w:color w:val="000000"/>
          <w:sz w:val="22"/>
        </w:rPr>
        <w:t> </w:t>
      </w:r>
      <w:r>
        <w:rPr>
          <w:rFonts w:ascii="Times New Roman" w:hAnsi="Times New Roman"/>
          <w:b w:val="false"/>
          <w:i/>
          <w:color w:val="000000"/>
          <w:sz w:val="22"/>
        </w:rPr>
        <w:t xml:space="preserve">Sprinkler retrofits and shunt trip breakers. </w:t>
      </w:r>
      <w:r>
        <w:rPr>
          <w:rFonts w:ascii="Times New Roman" w:hAnsi="Times New Roman"/>
          <w:b w:val="false"/>
          <w:i w:val="false"/>
          <w:color w:val="000000"/>
          <w:sz w:val="22"/>
        </w:rPr>
        <w:t>When a sprinkler is added to a hoistway or machine room, the conveyance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installations, the applicable version of ASME A17.1, Rule 2.8.3.3.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elevator controls, the phase I fire recall provisions of the applicable version of ASME A17.1, Rule 2.27.3.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version of ASME A17.1 is determined by reference to rule </w:t>
      </w:r>
      <w:hyperlink r:id="rId9">
        <w:r>
          <w:rPr>
            <w:rStyle w:val="Hyperlink"/>
            <w:rFonts w:ascii="Times New Roman" w:hAnsi="Times New Roman"/>
            <w:b w:val="false"/>
            <w:i w:val="false"/>
            <w:color w:val="000000"/>
            <w:sz w:val="22"/>
          </w:rPr>
          <w:t>875—72.1</w:t>
        </w:r>
      </w:hyperlink>
      <w:r>
        <w:rPr>
          <w:rFonts w:ascii="Times New Roman" w:hAnsi="Times New Roman"/>
          <w:b w:val="false"/>
          <w:i w:val="false"/>
          <w:color w:val="000000"/>
          <w:sz w:val="22"/>
        </w:rPr>
        <w:t xml:space="preserve">(89A). For purposes of this subrule, the relevant subrule of rule </w:t>
      </w:r>
      <w:hyperlink r:id="rId10">
        <w:r>
          <w:rPr>
            <w:rStyle w:val="Hyperlink"/>
            <w:rFonts w:ascii="Times New Roman" w:hAnsi="Times New Roman"/>
            <w:b w:val="false"/>
            <w:i w:val="false"/>
            <w:color w:val="000000"/>
            <w:sz w:val="22"/>
          </w:rPr>
          <w:t>875—72.1(89A)</w:t>
        </w:r>
      </w:hyperlink>
      <w:r>
        <w:rPr>
          <w:rFonts w:ascii="Times New Roman" w:hAnsi="Times New Roman"/>
          <w:b w:val="false"/>
          <w:i w:val="false"/>
          <w:color w:val="000000"/>
          <w:sz w:val="22"/>
        </w:rPr>
        <w:t xml:space="preserve"> applies based on the date the sprinkler is installed instead of the date the conveyance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73.3(6)</w:t>
      </w:r>
      <w:r>
        <w:rPr>
          <w:rFonts w:ascii="Times New Roman" w:hAnsi="Times New Roman"/>
          <w:b w:val="false"/>
          <w:i w:val="false"/>
          <w:color w:val="000000"/>
          <w:sz w:val="22"/>
        </w:rPr>
        <w:t> </w:t>
      </w:r>
      <w:r>
        <w:rPr>
          <w:rFonts w:ascii="Times New Roman" w:hAnsi="Times New Roman"/>
          <w:b w:val="false"/>
          <w:i/>
          <w:color w:val="000000"/>
          <w:sz w:val="22"/>
        </w:rPr>
        <w:t xml:space="preserve">Safety bulkheads. </w:t>
      </w:r>
      <w:r>
        <w:rPr>
          <w:rFonts w:ascii="Times New Roman" w:hAnsi="Times New Roman"/>
          <w:b w:val="false"/>
          <w:i w:val="false"/>
          <w:color w:val="000000"/>
          <w:sz w:val="22"/>
        </w:rPr>
        <w:t>Documentation from the manufacturer establishing that a safety bulkhead was installed shall establish compliance with ASME A17.1, Rule 8.6.5.8.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73.3(7)</w:t>
      </w:r>
      <w:r>
        <w:rPr>
          <w:rFonts w:ascii="Times New Roman" w:hAnsi="Times New Roman"/>
          <w:b w:val="false"/>
          <w:i w:val="false"/>
          <w:color w:val="000000"/>
          <w:sz w:val="22"/>
        </w:rPr>
        <w:t> </w:t>
      </w:r>
      <w:r>
        <w:rPr>
          <w:rFonts w:ascii="Times New Roman" w:hAnsi="Times New Roman"/>
          <w:b w:val="false"/>
          <w:i/>
          <w:color w:val="000000"/>
          <w:sz w:val="22"/>
        </w:rPr>
        <w:t xml:space="preserve">Alterations of handicapped restricted use elevators. </w:t>
      </w:r>
      <w:r>
        <w:rPr>
          <w:rFonts w:ascii="Times New Roman" w:hAnsi="Times New Roman"/>
          <w:b w:val="false"/>
          <w:i w:val="false"/>
          <w:color w:val="000000"/>
          <w:sz w:val="22"/>
        </w:rPr>
        <w:t xml:space="preserve">A component of a handicapped restricted use elevator being altered complies with the portions of ASME A17.1, section 5.3, applicable to the component. The edition of ASME A17.1 adopted by reference in rule </w:t>
      </w:r>
      <w:hyperlink r:id="rId11">
        <w:r>
          <w:rPr>
            <w:rStyle w:val="Hyperlink"/>
            <w:rFonts w:ascii="Times New Roman" w:hAnsi="Times New Roman"/>
            <w:b w:val="false"/>
            <w:i w:val="false"/>
            <w:color w:val="000000"/>
            <w:sz w:val="22"/>
          </w:rPr>
          <w:t>875—32.1</w:t>
        </w:r>
      </w:hyperlink>
      <w:r>
        <w:rPr>
          <w:rFonts w:ascii="Times New Roman" w:hAnsi="Times New Roman"/>
          <w:b w:val="false"/>
          <w:i w:val="false"/>
          <w:color w:val="000000"/>
          <w:sz w:val="22"/>
        </w:rPr>
        <w:t>(89A)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73.3(8)</w:t>
      </w:r>
      <w:r>
        <w:rPr>
          <w:rFonts w:ascii="Times New Roman" w:hAnsi="Times New Roman"/>
          <w:b w:val="false"/>
          <w:i w:val="false"/>
          <w:color w:val="000000"/>
          <w:sz w:val="22"/>
        </w:rPr>
        <w:t> </w:t>
      </w:r>
      <w:r>
        <w:rPr>
          <w:rFonts w:ascii="Times New Roman" w:hAnsi="Times New Roman"/>
          <w:b w:val="false"/>
          <w:i/>
          <w:color w:val="000000"/>
          <w:sz w:val="22"/>
        </w:rPr>
        <w:t xml:space="preserve">Hoistway lighting. </w:t>
      </w:r>
      <w:r>
        <w:rPr>
          <w:rFonts w:ascii="Times New Roman" w:hAnsi="Times New Roman"/>
          <w:b w:val="false"/>
          <w:i w:val="false"/>
          <w:color w:val="000000"/>
          <w:sz w:val="22"/>
        </w:rPr>
        <w:t>If the controller for an elevator is being replaced, permanent lighting is installed in the hoistway of the elevator. Three-way switches to control the hoistway lighting are installed at the pit access door and the top landing access door. The lighting shall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875—73.4</w:t>
      </w:r>
      <w:r>
        <w:rPr>
          <w:rFonts w:ascii="Times New Roman" w:hAnsi="Times New Roman"/>
          <w:b/>
          <w:i w:val="false"/>
          <w:color w:val="000000"/>
          <w:sz w:val="22"/>
        </w:rPr>
        <w:t xml:space="preserve">(89A) </w:t>
      </w:r>
      <w:r>
        <w:rPr>
          <w:rFonts w:ascii="Times New Roman" w:hAnsi="Times New Roman"/>
          <w:b/>
          <w:i w:val="false"/>
          <w:color w:val="000000"/>
          <w:sz w:val="22"/>
        </w:rPr>
        <w:t xml:space="preserve">Existing hand elevators. </w:t>
      </w:r>
      <w:r>
        <w:rPr>
          <w:rFonts w:ascii="Times New Roman" w:hAnsi="Times New Roman"/>
          <w:b w:val="false"/>
          <w:i w:val="false"/>
          <w:color w:val="000000"/>
          <w:sz w:val="22"/>
        </w:rPr>
        <w:t>A sign reading “Danger—Elevator Hoistway—Keep Closed” shall be mounted on each hoistway door with letters at least 2 inches high.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875—73.5</w:t>
      </w:r>
      <w:r>
        <w:rPr>
          <w:rFonts w:ascii="Times New Roman" w:hAnsi="Times New Roman"/>
          <w:b/>
          <w:i w:val="false"/>
          <w:color w:val="000000"/>
          <w:sz w:val="22"/>
        </w:rPr>
        <w:t xml:space="preserve">(89A) </w:t>
      </w:r>
      <w:r>
        <w:rPr>
          <w:rFonts w:ascii="Times New Roman" w:hAnsi="Times New Roman"/>
          <w:b/>
          <w:i w:val="false"/>
          <w:color w:val="000000"/>
          <w:sz w:val="22"/>
        </w:rPr>
        <w:t xml:space="preserve">Dumbwaiters. </w:t>
      </w:r>
      <w:r>
        <w:rPr>
          <w:rFonts w:ascii="Times New Roman" w:hAnsi="Times New Roman"/>
          <w:b w:val="false"/>
          <w:i w:val="false"/>
          <w:color w:val="000000"/>
          <w:sz w:val="22"/>
        </w:rPr>
        <w:t>All dumbwaiters whether electric or hand powered conform to ANSI A17.1 (1971), section 700. Exceptions: Required rules for hoistway construction as set forth in ANSI A17.1 (1971), do not apply to existing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875—73.6</w:t>
      </w:r>
      <w:r>
        <w:rPr>
          <w:rFonts w:ascii="Times New Roman" w:hAnsi="Times New Roman"/>
          <w:b/>
          <w:i w:val="false"/>
          <w:color w:val="000000"/>
          <w:sz w:val="22"/>
        </w:rPr>
        <w:t xml:space="preserve">(89A) </w:t>
      </w:r>
      <w:r>
        <w:rPr>
          <w:rFonts w:ascii="Times New Roman" w:hAnsi="Times New Roman"/>
          <w:b/>
          <w:i w:val="false"/>
          <w:color w:val="000000"/>
          <w:sz w:val="22"/>
        </w:rPr>
        <w:t xml:space="preserve">Child entrapment safeguard requirements. </w:t>
      </w:r>
      <w:r>
        <w:rPr>
          <w:rFonts w:ascii="Times New Roman" w:hAnsi="Times New Roman"/>
          <w:b w:val="false"/>
          <w:i w:val="false"/>
          <w:color w:val="000000"/>
          <w:sz w:val="22"/>
        </w:rPr>
        <w:t>This rule applies to a passenger elevator unless it has a car door consisting of a solid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“distance with deflection between the doors or gates” means the distance between the closed car door or gate and the closed hoistway door or gate measured at the greatest perpendicular distance with deflection.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measurements of door or gate deflection are made in the manner described by ASME A17.1, section 2.14.4.6.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val="false"/>
          <w:color w:val="000000"/>
          <w:sz w:val="22"/>
        </w:rPr>
        <w:t>Door or gate deflection do not exceed .75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73.6(4)</w:t>
      </w:r>
      <w:r>
        <w:rPr>
          <w:rFonts w:ascii="Times New Roman" w:hAnsi="Times New Roman"/>
          <w:b w:val="false"/>
          <w:i w:val="false"/>
          <w:color w:val="000000"/>
          <w:sz w:val="22"/>
        </w:rPr>
        <w:t> </w:t>
      </w:r>
      <w:r>
        <w:rPr>
          <w:rFonts w:ascii="Times New Roman" w:hAnsi="Times New Roman"/>
          <w:b w:val="false"/>
          <w:i w:val="false"/>
          <w:color w:val="000000"/>
          <w:sz w:val="22"/>
        </w:rPr>
        <w:t>If the distance with deflection between the doors or gates exceeds 5 inches, a means will be provided to disable the elevator if a person is in the space between the closed doors or 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875—73.7</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in broadcast towers. </w:t>
      </w:r>
      <w:r>
        <w:rPr>
          <w:rFonts w:ascii="Times New Roman" w:hAnsi="Times New Roman"/>
          <w:b w:val="false"/>
          <w:i w:val="false"/>
          <w:color w:val="000000"/>
          <w:sz w:val="22"/>
        </w:rPr>
        <w:t>This rule applies to special purpose elevators located in broadcast towers.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color w:val="000000"/>
          <w:sz w:val="22"/>
        </w:rPr>
        <w:t xml:space="preserve">Anchorages. </w:t>
      </w:r>
      <w:r>
        <w:rPr>
          <w:rFonts w:ascii="Times New Roman" w:hAnsi="Times New Roman"/>
          <w:b w:val="false"/>
          <w:i w:val="false"/>
          <w:color w:val="000000"/>
          <w:sz w:val="22"/>
        </w:rPr>
        <w:t>Anchorages shall be attached inside the car and on the car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color w:val="000000"/>
          <w:sz w:val="22"/>
        </w:rPr>
        <w:t xml:space="preserve">Emergency stop switch. </w:t>
      </w:r>
      <w:r>
        <w:rPr>
          <w:rFonts w:ascii="Times New Roman" w:hAnsi="Times New Roman"/>
          <w:b w:val="false"/>
          <w:i w:val="false"/>
          <w:color w:val="000000"/>
          <w:sz w:val="22"/>
        </w:rPr>
        <w:t>An emergency stop switch compliant with ASME A17.1, sections 2.26.2.8 and 5.7.19, shall be installed on the car top.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875—73.8</w:t>
      </w:r>
      <w:r>
        <w:rPr>
          <w:rFonts w:ascii="Times New Roman" w:hAnsi="Times New Roman"/>
          <w:b/>
          <w:i w:val="false"/>
          <w:color w:val="000000"/>
          <w:sz w:val="22"/>
        </w:rPr>
        <w:t xml:space="preserve">(89A) </w:t>
      </w:r>
      <w:r>
        <w:rPr>
          <w:rFonts w:ascii="Times New Roman" w:hAnsi="Times New Roman"/>
          <w:b/>
          <w:i w:val="false"/>
          <w:color w:val="000000"/>
          <w:sz w:val="22"/>
        </w:rPr>
        <w:t xml:space="preserve">Handicapped restricted use elevator requirements. </w:t>
      </w:r>
      <w:r>
        <w:rPr>
          <w:rFonts w:ascii="Times New Roman" w:hAnsi="Times New Roman"/>
          <w:b w:val="false"/>
          <w:i w:val="false"/>
          <w:color w:val="000000"/>
          <w:sz w:val="22"/>
        </w:rPr>
        <w:t>All handicapped restricted use elevators must meet ANSI A17.1 (1981), Part V. Additionally, the elevators will comply with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elevator is used only by a maximum of one disabled person and one attendant at a time. Where a disabled individual cannot operate the elevator in a manner that will ensure access to all operating controls and safety features, an attendant accompanies the disabled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elevator is key-operated and not capable of being called by buttons or switches but may be called by a key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Keys to operate the elevator are in the control of the disabled person, the attendant or persons in positions of responsibility at the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is maintained at the location indicating the persons holding keys for the operation of the elevator.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Each landing and the elevator car will be posted to indicate that the elevator is only for the use of disabled persons.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travel distance of the elevator will not exceed 50 feet.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10/16/75—published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10/17/07, Notice 8/1/07—published 11/7/07, effective 12/12/07]</w:t>
      </w:r>
    </w:p>
    <w:p>
      <w:pPr>
        <w:spacing w:before="0" w:after="0"/>
        <w:ind w:left="120"/>
        <w:jc w:val="center"/>
      </w:pPr>
      <w:r>
        <w:rPr>
          <w:rFonts w:ascii="Times New Roman" w:hAnsi="Times New Roman"/>
          <w:b w:val="false"/>
          <w:i w:val="false"/>
          <w:color w:val="000000"/>
          <w:sz w:val="21"/>
        </w:rPr>
        <w:t>[Filed 12/11/07, Notice 10/24/07—published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8760B</w:t>
      </w:r>
      <w:r>
        <w:rPr>
          <w:rFonts w:ascii="Times New Roman" w:hAnsi="Times New Roman"/>
          <w:b w:val="false"/>
          <w:i w:val="false"/>
          <w:color w:val="000000"/>
          <w:sz w:val="21"/>
        </w:rPr>
        <w:t xml:space="preserve"> (Notice ARC 8623B, IAB 3/24/10)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1891C</w:t>
      </w:r>
      <w:r>
        <w:rPr>
          <w:rFonts w:ascii="Times New Roman" w:hAnsi="Times New Roman"/>
          <w:b w:val="false"/>
          <w:i w:val="false"/>
          <w:color w:val="000000"/>
          <w:sz w:val="21"/>
        </w:rPr>
        <w:t xml:space="preserve"> (Notice ARC 1771C, IAB 12/10/14)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2455C</w:t>
      </w:r>
      <w:r>
        <w:rPr>
          <w:rFonts w:ascii="Times New Roman" w:hAnsi="Times New Roman"/>
          <w:b w:val="false"/>
          <w:i w:val="false"/>
          <w:color w:val="000000"/>
          <w:sz w:val="21"/>
        </w:rPr>
        <w:t xml:space="preserve"> (Notice ARC 2356C, IAB 1/6/16)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Emergency After Notice ARC 5089C</w:t>
      </w:r>
      <w:r>
        <w:rPr>
          <w:rFonts w:ascii="Times New Roman" w:hAnsi="Times New Roman"/>
          <w:b w:val="false"/>
          <w:i w:val="false"/>
          <w:color w:val="000000"/>
          <w:sz w:val="21"/>
        </w:rPr>
        <w:t xml:space="preserve"> (Notice ARC 5040C, IAB 5/20/20)</w:t>
      </w:r>
      <w:r>
        <w:rPr>
          <w:rFonts w:ascii="Times New Roman" w:hAnsi="Times New Roman"/>
          <w:b w:val="false"/>
          <w:i w:val="false"/>
          <w:color w:val="000000"/>
          <w:sz w:val="21"/>
        </w:rPr>
        <w:t>, IAB 7/15/20, effective 6/25/20]</w:t>
      </w:r>
    </w:p>
    <w:p>
      <w:pPr>
        <w:spacing w:before="0" w:after="0"/>
        <w:ind w:left="120"/>
        <w:jc w:val="center"/>
      </w:pPr>
      <w:r>
        <w:rPr>
          <w:rFonts w:ascii="Times New Roman" w:hAnsi="Times New Roman"/>
          <w:b w:val="false"/>
          <w:i w:val="false"/>
          <w:color w:val="000000"/>
          <w:sz w:val="21"/>
        </w:rPr>
        <w:t>[Filed ARC 8777C</w:t>
      </w:r>
      <w:r>
        <w:rPr>
          <w:rFonts w:ascii="Times New Roman" w:hAnsi="Times New Roman"/>
          <w:b w:val="false"/>
          <w:i w:val="false"/>
          <w:color w:val="000000"/>
          <w:sz w:val="21"/>
        </w:rPr>
        <w:t xml:space="preserve"> (Notice ARC 8324C,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75.72.pdf" Type="http://schemas.openxmlformats.org/officeDocument/2006/relationships/hyperlink" Id="rId4"/>
    <Relationship TargetMode="External" Target="https://www.legis.iowa.gov/docs/ico/chapter/89A.pdf" Type="http://schemas.openxmlformats.org/officeDocument/2006/relationships/hyperlink" Id="rId5"/>
    <Relationship TargetMode="External" Target="https://www.legis.iowa.gov/docs/ico/chapter/89A.pdf" Type="http://schemas.openxmlformats.org/officeDocument/2006/relationships/hyperlink" Id="rId6"/>
    <Relationship TargetMode="External" Target="https://www.legis.iowa.gov/docs/iac/chapter/875.71.pdf" Type="http://schemas.openxmlformats.org/officeDocument/2006/relationships/hyperlink" Id="rId7"/>
    <Relationship TargetMode="External" Target="https://www.legis.iowa.gov/docs/iac/chapter/875.71.pdf" Type="http://schemas.openxmlformats.org/officeDocument/2006/relationships/hyperlink" Id="rId8"/>
    <Relationship TargetMode="External" Target="https://www.legis.iowa.gov/docs/iac/rule/875.72.1.pdf" Type="http://schemas.openxmlformats.org/officeDocument/2006/relationships/hyperlink" Id="rId9"/>
    <Relationship TargetMode="External" Target="https://www.legis.iowa.gov/docs/iac/rule/875.72.1.pdf" Type="http://schemas.openxmlformats.org/officeDocument/2006/relationships/hyperlink" Id="rId10"/>
    <Relationship TargetMode="External" Target="https://www.legis.iowa.gov/docs/iac/rule/875.32.1.pdf" Type="http://schemas.openxmlformats.org/officeDocument/2006/relationships/hyperlink" Id="rId11"/>
    <Relationship TargetMode="External" Target="https://www.legis.iowa.gov/docs/ico/chapter/89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