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71</w:t>
      </w:r>
    </w:p>
    <w:p>
      <w:pPr>
        <w:spacing w:before="0" w:after="0"/>
        <w:ind w:left="120"/>
        <w:jc w:val="center"/>
      </w:pPr>
      <w:r>
        <w:rPr>
          <w:rFonts w:ascii="Times New Roman" w:hAnsi="Times New Roman"/>
          <w:b w:val="false"/>
          <w:i w:val="false"/>
          <w:color w:val="000000"/>
          <w:sz w:val="21"/>
        </w:rPr>
        <w:t>ADMINISTRATION OF THE CONVEYANCE SAFETY PROGRAM</w:t>
      </w:r>
    </w:p>
    <w:p>
      <w:pPr>
        <w:spacing w:before="0" w:after="0"/>
        <w:ind w:left="120"/>
        <w:jc w:val="both"/>
      </w:pPr>
      <w:r>
        <w:rPr>
          <w:rFonts w:ascii="Times New Roman" w:hAnsi="Times New Roman"/>
          <w:b/>
          <w:i w:val="false"/>
          <w:color w:val="000000"/>
          <w:sz w:val="22"/>
        </w:rPr>
        <w:t>875—71.1</w:t>
      </w:r>
      <w:r>
        <w:rPr>
          <w:rFonts w:ascii="Times New Roman" w:hAnsi="Times New Roman"/>
          <w:b/>
          <w:i w:val="false"/>
          <w:color w:val="000000"/>
          <w:sz w:val="22"/>
        </w:rPr>
        <w:t xml:space="preserve">(89A)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this rule apply to 875—Chapters </w:t>
      </w:r>
      <w:hyperlink r:id="rId4">
        <w:r>
          <w:rPr>
            <w:rStyle w:val="Hyperlink"/>
            <w:rFonts w:ascii="Times New Roman" w:hAnsi="Times New Roman"/>
            <w:b w:val="false"/>
            <w:i w:val="false"/>
            <w:color w:val="000000"/>
            <w:sz w:val="22"/>
          </w:rPr>
          <w:t>71</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72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“Acceptance checklist” </w:t>
      </w:r>
      <w:r>
        <w:rPr>
          <w:rFonts w:ascii="Times New Roman" w:hAnsi="Times New Roman"/>
          <w:b w:val="false"/>
          <w:i w:val="false"/>
          <w:color w:val="000000"/>
          <w:sz w:val="22"/>
        </w:rPr>
        <w:t>means a checklist available on the website of the department that includes a list of major systems and components of conveyances.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“AECO” </w:t>
      </w:r>
      <w:r>
        <w:rPr>
          <w:rFonts w:ascii="Times New Roman" w:hAnsi="Times New Roman"/>
          <w:b w:val="false"/>
          <w:i w:val="false"/>
          <w:color w:val="000000"/>
          <w:sz w:val="22"/>
        </w:rPr>
        <w:t>means an elevator/escalator certification organization accredited pursuant to ASME A17.7.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w:t>
      </w:r>
      <w:r>
        <w:rPr>
          <w:rFonts w:ascii="Times New Roman" w:hAnsi="Times New Roman"/>
          <w:b w:val="false"/>
          <w:i w:val="false"/>
          <w:color w:val="000000"/>
          <w:sz w:val="22"/>
        </w:rPr>
        <w:t>means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“CCD” </w:t>
      </w:r>
      <w:r>
        <w:rPr>
          <w:rFonts w:ascii="Times New Roman" w:hAnsi="Times New Roman"/>
          <w:b w:val="false"/>
          <w:i w:val="false"/>
          <w:color w:val="000000"/>
          <w:sz w:val="22"/>
        </w:rPr>
        <w:t>means code compliance documentation as described in ASME A17.7, Section 2.10.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“CEI” </w:t>
      </w:r>
      <w:r>
        <w:rPr>
          <w:rFonts w:ascii="Times New Roman" w:hAnsi="Times New Roman"/>
          <w:b w:val="false"/>
          <w:i w:val="false"/>
          <w:color w:val="000000"/>
          <w:sz w:val="22"/>
        </w:rPr>
        <w:t>means a person who is a certified elevator inspector or certified elevator inspector supervisor and who received the certification from a certifying organization that holds a valid document of accreditation issued by an accreditation body in accordance with ANSI/ISO/IEC 17024.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“Center of the elevator path” </w:t>
      </w:r>
      <w:r>
        <w:rPr>
          <w:rFonts w:ascii="Times New Roman" w:hAnsi="Times New Roman"/>
          <w:b w:val="false"/>
          <w:i w:val="false"/>
          <w:color w:val="000000"/>
          <w:sz w:val="22"/>
        </w:rPr>
        <w:t>means a vertical line through the center point of an elevator car top beginning two feet below the lower landing and ending ten feet above the highest landing of an elevator.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w:t>
      </w:r>
      <w:r>
        <w:rPr>
          <w:rFonts w:ascii="Times New Roman" w:hAnsi="Times New Roman"/>
          <w:b w:val="false"/>
          <w:i w:val="false"/>
          <w:color w:val="000000"/>
          <w:sz w:val="22"/>
        </w:rPr>
        <w:t>means the system governing the starting, stopping, direction of motion, acceleration, speed and deceleration of the moving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“Conveyance” </w:t>
      </w:r>
      <w:r>
        <w:rPr>
          <w:rFonts w:ascii="Times New Roman" w:hAnsi="Times New Roman"/>
          <w:b w:val="false"/>
          <w:i w:val="false"/>
          <w:color w:val="000000"/>
          <w:sz w:val="22"/>
        </w:rPr>
        <w:t xml:space="preserve">means any elevator, escalator, material lift elevator installed on or after August 10, 2016, dumbwaiter, wind tower lift, CPH, or other equipment governed by Iowa Code chapter </w:t>
      </w:r>
      <w:hyperlink r:id="rId7">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“CPH” </w:t>
      </w:r>
      <w:r>
        <w:rPr>
          <w:rFonts w:ascii="Times New Roman" w:hAnsi="Times New Roman"/>
          <w:b w:val="false"/>
          <w:i w:val="false"/>
          <w:color w:val="000000"/>
          <w:sz w:val="22"/>
        </w:rPr>
        <w:t>means a construction personnel hoist.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“CPH jump” </w:t>
      </w:r>
      <w:r>
        <w:rPr>
          <w:rFonts w:ascii="Times New Roman" w:hAnsi="Times New Roman"/>
          <w:b w:val="false"/>
          <w:i w:val="false"/>
          <w:color w:val="000000"/>
          <w:sz w:val="22"/>
        </w:rPr>
        <w:t>means the addition or removal of mast or tower allowing a change in the hoist service elevation of a CPH.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department of inspections, appeals, and licensing.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“Elevator” </w:t>
      </w:r>
      <w:r>
        <w:rPr>
          <w:rFonts w:ascii="Times New Roman" w:hAnsi="Times New Roman"/>
          <w:b w:val="false"/>
          <w:i w:val="false"/>
          <w:color w:val="000000"/>
          <w:sz w:val="22"/>
        </w:rPr>
        <w:t>means a hoisting and lowering mechanism equipped with a car or platform that moves in guides in a substantially vertical direction and that serves two or more floors of a building or structure. “Elevator” does not include a CPH.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“Elevator mechanic” </w:t>
      </w:r>
      <w:r>
        <w:rPr>
          <w:rFonts w:ascii="Times New Roman" w:hAnsi="Times New Roman"/>
          <w:b w:val="false"/>
          <w:i w:val="false"/>
          <w:color w:val="000000"/>
          <w:sz w:val="22"/>
        </w:rPr>
        <w:t>means a person who meets the standard for “elevator personnel” found in ASME A17.1.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“Hoistway-unit system” </w:t>
      </w:r>
      <w:r>
        <w:rPr>
          <w:rFonts w:ascii="Times New Roman" w:hAnsi="Times New Roman"/>
          <w:b w:val="false"/>
          <w:i w:val="false"/>
          <w:color w:val="000000"/>
          <w:sz w:val="22"/>
        </w:rPr>
        <w:t>means a series of hoistway-door interlocks, hoistway-door electric contacts or hoistway-door combination mechanical locks and electric contacts, or a combination thereof, the function of which is to prevent operation of the driving machine by the normal operating device unless all hoistway doors are in the closed position and, if required, locked.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“Imminent danger” </w:t>
      </w:r>
      <w:r>
        <w:rPr>
          <w:rFonts w:ascii="Times New Roman" w:hAnsi="Times New Roman"/>
          <w:b w:val="false"/>
          <w:i w:val="false"/>
          <w:color w:val="000000"/>
          <w:sz w:val="22"/>
        </w:rPr>
        <w:t>means one or more conditions or practices exist that are reasonably expected to cause death or serious physical harm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“Seal off” </w:t>
      </w:r>
      <w:r>
        <w:rPr>
          <w:rFonts w:ascii="Times New Roman" w:hAnsi="Times New Roman"/>
          <w:b w:val="false"/>
          <w:i w:val="false"/>
          <w:color w:val="000000"/>
          <w:sz w:val="22"/>
        </w:rPr>
        <w:t>means to place a conveyance controller in the off position and attach a wire seal with a tag warning that the conveyance must be rendered dormant or not used pending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danger” </w:t>
      </w:r>
      <w:r>
        <w:rPr>
          <w:rFonts w:ascii="Times New Roman" w:hAnsi="Times New Roman"/>
          <w:b w:val="false"/>
          <w:i w:val="false"/>
          <w:color w:val="000000"/>
          <w:sz w:val="22"/>
        </w:rPr>
        <w:t>means one or more conditions or practices exist that create a substantial probability that death or serious physical harm could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means a waiver pursuant to Iowa Code section </w:t>
      </w:r>
      <w:hyperlink r:id="rId8">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or an exception or variance pursuant to Iowa Code section </w:t>
      </w:r>
      <w:hyperlink r:id="rId9">
        <w:r>
          <w:rPr>
            <w:rStyle w:val="Hyperlink"/>
            <w:rFonts w:ascii="Times New Roman" w:hAnsi="Times New Roman"/>
            <w:b w:val="false"/>
            <w:i w:val="false"/>
            <w:color w:val="000000"/>
            <w:sz w:val="22"/>
          </w:rPr>
          <w:t>89A.11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“Wind tower lift” </w:t>
      </w:r>
      <w:r>
        <w:rPr>
          <w:rFonts w:ascii="Times New Roman" w:hAnsi="Times New Roman"/>
          <w:b w:val="false"/>
          <w:i w:val="false"/>
          <w:color w:val="000000"/>
          <w:sz w:val="22"/>
        </w:rPr>
        <w:t>means a conveyance designed and utilized solely for movement of trained and authorized people and small loads in wind towers built for the production of electricity.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875—71.2</w:t>
      </w:r>
      <w:r>
        <w:rPr>
          <w:rFonts w:ascii="Times New Roman" w:hAnsi="Times New Roman"/>
          <w:b/>
          <w:i w:val="false"/>
          <w:color w:val="000000"/>
          <w:sz w:val="22"/>
        </w:rPr>
        <w:t xml:space="preserve">(89A) </w:t>
      </w:r>
      <w:r>
        <w:rPr>
          <w:rFonts w:ascii="Times New Roman" w:hAnsi="Times New Roman"/>
          <w:b/>
          <w:i w:val="false"/>
          <w:color w:val="000000"/>
          <w:sz w:val="22"/>
        </w:rPr>
        <w:t xml:space="preserve">Registration of conveyances. </w:t>
      </w:r>
      <w:r>
        <w:rPr>
          <w:rFonts w:ascii="Times New Roman" w:hAnsi="Times New Roman"/>
          <w:b w:val="false"/>
          <w:i w:val="false"/>
          <w:color w:val="000000"/>
          <w:sz w:val="22"/>
        </w:rPr>
        <w:t>The owner or authorized agent of each operable conveyance not previously registered shall register the conveyance. An application to install a new conveyance constitutes registration. All registrations are submitted to the director on forms available from the department and include all information requested by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875—71.3</w:t>
      </w:r>
      <w:r>
        <w:rPr>
          <w:rFonts w:ascii="Times New Roman" w:hAnsi="Times New Roman"/>
          <w:b/>
          <w:i w:val="false"/>
          <w:color w:val="000000"/>
          <w:sz w:val="22"/>
        </w:rPr>
        <w:t xml:space="preserve">(89A) </w:t>
      </w:r>
      <w:r>
        <w:rPr>
          <w:rFonts w:ascii="Times New Roman" w:hAnsi="Times New Roman"/>
          <w:b/>
          <w:i w:val="false"/>
          <w:color w:val="000000"/>
          <w:sz w:val="22"/>
        </w:rPr>
        <w:t xml:space="preserve">State identification number. </w:t>
      </w:r>
      <w:r>
        <w:rPr>
          <w:rFonts w:ascii="Times New Roman" w:hAnsi="Times New Roman"/>
          <w:b w:val="false"/>
          <w:i w:val="false"/>
          <w:color w:val="000000"/>
          <w:sz w:val="22"/>
        </w:rPr>
        <w:t>The director will assign an identification number to each conveyance that shall be stamped on a metal tag permanently attached to the controller, to the electrical disconnecting switch, or in a wind tower lift cage.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875—71.4</w:t>
      </w:r>
      <w:r>
        <w:rPr>
          <w:rFonts w:ascii="Times New Roman" w:hAnsi="Times New Roman"/>
          <w:b/>
          <w:i w:val="false"/>
          <w:color w:val="000000"/>
          <w:sz w:val="22"/>
        </w:rPr>
        <w:t xml:space="preserve">(89A) </w:t>
      </w:r>
      <w:r>
        <w:rPr>
          <w:rFonts w:ascii="Times New Roman" w:hAnsi="Times New Roman"/>
          <w:b/>
          <w:i w:val="false"/>
          <w:color w:val="000000"/>
          <w:sz w:val="22"/>
        </w:rPr>
        <w:t xml:space="preserve">Responsibility for obtaining permits. </w:t>
      </w:r>
      <w:r>
        <w:rPr>
          <w:rFonts w:ascii="Times New Roman" w:hAnsi="Times New Roman"/>
          <w:b w:val="false"/>
          <w:i w:val="false"/>
          <w:color w:val="000000"/>
          <w:sz w:val="22"/>
        </w:rPr>
        <w:t>The procuring of all permits and the payment of all fees required by this chapter are the responsibility of the owner. Failure to obtain the appropriate permit prior to installation, alteration or operation may, at the discretion of the director, result in a referral to the attorney general for prosecution of criminal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875—71.5</w:t>
      </w:r>
      <w:r>
        <w:rPr>
          <w:rFonts w:ascii="Times New Roman" w:hAnsi="Times New Roman"/>
          <w:b/>
          <w:i w:val="false"/>
          <w:color w:val="000000"/>
          <w:sz w:val="22"/>
        </w:rPr>
        <w:t xml:space="preserve">(89A) </w:t>
      </w:r>
      <w:r>
        <w:rPr>
          <w:rFonts w:ascii="Times New Roman" w:hAnsi="Times New Roman"/>
          <w:b/>
          <w:i w:val="false"/>
          <w:color w:val="000000"/>
          <w:sz w:val="22"/>
        </w:rPr>
        <w:t xml:space="preserve">Installation permit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Installation will not begin until an installation permit has been issued by the department. A separate installation permit will be issued for each conveyance, except that a single installation permit will cover all identical wind tower lifts installed as the result of one construction contract in identical wind towers in a single wind 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Application for an installation permit shall be accompanied by the fee, in the format required by the director, and include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Sectional plan of car and hoistway.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Sectional plan of machine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Sectional elevation of hoistway and machine room including the pit, bottom and top clearance of car and counterweights.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Size and weight of rails and guide rail bracket spacing.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estimated maximum vertical forces on the guide rails on application of the safety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case of freight elevators for class B or class C loading, the horizontal forces on the guide rail faces during loading and unloading and the estimated maximum horizontal forces in a post-wise direction on the guide rail faces on the application of the safety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size and weight per foot of any rail reinforcements where rail reinforcements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Job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a conveyance covered by ASME A17.7, a complete copy of the CCD with attachments and a complete copy of the Certificate of Conformance with attachments as described by ASME A17.7, Appendix I, Section 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For a CPH, the number of CPH jumps planned, the planned dates for each CPH jump, and the change in the number of floors anticipated with each CPH jump.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A CPH installation permit issued in response to an application submitted in full compliance with this subrule permits each planned CPH jump. Each CPH jump will be considered an alteration. The fee for a CPH installation permit is the total of the CPH installation permit fee and the CPH alteration permit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val="false"/>
          <w:color w:val="000000"/>
          <w:sz w:val="22"/>
        </w:rPr>
        <w:t>Issuance of an installation permit is not a waiver of any requirement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71.5(5)</w:t>
      </w:r>
      <w:r>
        <w:rPr>
          <w:rFonts w:ascii="Times New Roman" w:hAnsi="Times New Roman"/>
          <w:b w:val="false"/>
          <w:i w:val="false"/>
          <w:color w:val="000000"/>
          <w:sz w:val="22"/>
        </w:rPr>
        <w:t> </w:t>
      </w:r>
      <w:r>
        <w:rPr>
          <w:rFonts w:ascii="Times New Roman" w:hAnsi="Times New Roman"/>
          <w:b w:val="false"/>
          <w:i w:val="false"/>
          <w:color w:val="000000"/>
          <w:sz w:val="22"/>
        </w:rPr>
        <w:t>The installation permit or a copy of the installation permit shall be conspicuously posted at the worksite. All the wind towers covered by a single installation permit are a single worksite, and posting one copy of the installation permit at the construction project office is sufficient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71.5(6)</w:t>
      </w:r>
      <w:r>
        <w:rPr>
          <w:rFonts w:ascii="Times New Roman" w:hAnsi="Times New Roman"/>
          <w:b w:val="false"/>
          <w:i w:val="false"/>
          <w:color w:val="000000"/>
          <w:sz w:val="22"/>
        </w:rPr>
        <w:t> </w:t>
      </w:r>
      <w:r>
        <w:rPr>
          <w:rFonts w:ascii="Times New Roman" w:hAnsi="Times New Roman"/>
          <w:b w:val="false"/>
          <w:i w:val="false"/>
          <w:color w:val="000000"/>
          <w:sz w:val="22"/>
        </w:rPr>
        <w:t>Except as described here, the installation permit expires upon the earlier of the completion of the installation as described in the permit application or one year after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CPH, the installation permit expires upon completion of the last CPH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any conveyance, during the tenth month after issuance, and upon submission to the director of sufficient justification, the fee established by this chapter, and other required information, an extension may be granted at the discretion of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875—71.6</w:t>
      </w:r>
      <w:r>
        <w:rPr>
          <w:rFonts w:ascii="Times New Roman" w:hAnsi="Times New Roman"/>
          <w:b/>
          <w:i w:val="false"/>
          <w:color w:val="000000"/>
          <w:sz w:val="22"/>
        </w:rPr>
        <w:t xml:space="preserve">(89A) </w:t>
      </w:r>
      <w:r>
        <w:rPr>
          <w:rFonts w:ascii="Times New Roman" w:hAnsi="Times New Roman"/>
          <w:b/>
          <w:i w:val="false"/>
          <w:color w:val="000000"/>
          <w:sz w:val="22"/>
        </w:rPr>
        <w:t xml:space="preserve">Construction permits—requirements. </w:t>
      </w:r>
      <w:r>
        <w:rPr>
          <w:rFonts w:ascii="Times New Roman" w:hAnsi="Times New Roman"/>
          <w:b w:val="false"/>
          <w:i w:val="false"/>
          <w:color w:val="000000"/>
          <w:sz w:val="22"/>
        </w:rPr>
        <w:t>A construction permit authorizes the temporary, limited use of an elevator for purposes relating to construction or demolition.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val="false"/>
          <w:color w:val="000000"/>
          <w:sz w:val="22"/>
        </w:rPr>
        <w:t>Use of the elevator will not begin until a construction permit has been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val="false"/>
          <w:color w:val="000000"/>
          <w:sz w:val="22"/>
        </w:rPr>
        <w:t>Application for a construction permit will be in the format required by the director and must include all the information requested by the director and the fee specified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71.6(3)</w:t>
      </w:r>
      <w:r>
        <w:rPr>
          <w:rFonts w:ascii="Times New Roman" w:hAnsi="Times New Roman"/>
          <w:b w:val="false"/>
          <w:i w:val="false"/>
          <w:color w:val="000000"/>
          <w:sz w:val="22"/>
        </w:rPr>
        <w:t> </w:t>
      </w:r>
      <w:r>
        <w:rPr>
          <w:rFonts w:ascii="Times New Roman" w:hAnsi="Times New Roman"/>
          <w:b w:val="false"/>
          <w:i w:val="false"/>
          <w:color w:val="000000"/>
          <w:sz w:val="22"/>
        </w:rPr>
        <w:t>Upon submission of the completed application and fee, a state inspector will be scheduled to inspect the elevator. Construction permits will be issued only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elevator has been successfully tested pursuant to the requirements of ASME A17.1, Section 8.11.5.13;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applicable requirements of ASME A17.1, Section 5.10,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71.6(4)</w:t>
      </w:r>
      <w:r>
        <w:rPr>
          <w:rFonts w:ascii="Times New Roman" w:hAnsi="Times New Roman"/>
          <w:b w:val="false"/>
          <w:i w:val="false"/>
          <w:color w:val="000000"/>
          <w:sz w:val="22"/>
        </w:rPr>
        <w:t> </w:t>
      </w:r>
      <w:r>
        <w:rPr>
          <w:rFonts w:ascii="Times New Roman" w:hAnsi="Times New Roman"/>
          <w:b w:val="false"/>
          <w:i w:val="false"/>
          <w:color w:val="000000"/>
          <w:sz w:val="22"/>
        </w:rPr>
        <w:t>The construction permit or a copy of the construction permit will be posted conspicuously in a protective sleeve in the elevator car.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71.6(5)</w:t>
      </w:r>
      <w:r>
        <w:rPr>
          <w:rFonts w:ascii="Times New Roman" w:hAnsi="Times New Roman"/>
          <w:b w:val="false"/>
          <w:i w:val="false"/>
          <w:color w:val="000000"/>
          <w:sz w:val="22"/>
        </w:rPr>
        <w:t> </w:t>
      </w:r>
      <w:r>
        <w:rPr>
          <w:rFonts w:ascii="Times New Roman" w:hAnsi="Times New Roman"/>
          <w:b w:val="false"/>
          <w:i w:val="false"/>
          <w:color w:val="000000"/>
          <w:sz w:val="22"/>
        </w:rPr>
        <w:t>The construction permit will expire 120 days after issuance. However, between 90 and 110 days after issuance and upon submission to the director of sufficient justification, the fee established by this chapter, and other required information, an extension of up to 90 days may be granted at the discretion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71.6(6)</w:t>
      </w:r>
      <w:r>
        <w:rPr>
          <w:rFonts w:ascii="Times New Roman" w:hAnsi="Times New Roman"/>
          <w:b w:val="false"/>
          <w:i w:val="false"/>
          <w:color w:val="000000"/>
          <w:sz w:val="22"/>
        </w:rPr>
        <w:t> </w:t>
      </w:r>
      <w:r>
        <w:rPr>
          <w:rFonts w:ascii="Times New Roman" w:hAnsi="Times New Roman"/>
          <w:b w:val="false"/>
          <w:i w:val="false"/>
          <w:color w:val="000000"/>
          <w:sz w:val="22"/>
        </w:rPr>
        <w:t>Elevators with a construction permit but without an operating permit will not be accessible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71.6(7)</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these provisions may result in the revocation of the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71.6(8)</w:t>
      </w:r>
      <w:r>
        <w:rPr>
          <w:rFonts w:ascii="Times New Roman" w:hAnsi="Times New Roman"/>
          <w:b w:val="false"/>
          <w:i w:val="false"/>
          <w:color w:val="000000"/>
          <w:sz w:val="22"/>
        </w:rPr>
        <w:t> </w:t>
      </w:r>
      <w:r>
        <w:rPr>
          <w:rFonts w:ascii="Times New Roman" w:hAnsi="Times New Roman"/>
          <w:b w:val="false"/>
          <w:i w:val="false"/>
          <w:color w:val="000000"/>
          <w:sz w:val="22"/>
        </w:rPr>
        <w:t>An operating permit will not be issued before construction and an acceptance inspection are complete.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875—71.7</w:t>
      </w:r>
      <w:r>
        <w:rPr>
          <w:rFonts w:ascii="Times New Roman" w:hAnsi="Times New Roman"/>
          <w:b/>
          <w:i w:val="false"/>
          <w:color w:val="000000"/>
          <w:sz w:val="22"/>
        </w:rPr>
        <w:t xml:space="preserve">(89A) </w:t>
      </w:r>
      <w:r>
        <w:rPr>
          <w:rFonts w:ascii="Times New Roman" w:hAnsi="Times New Roman"/>
          <w:b/>
          <w:i w:val="false"/>
          <w:color w:val="000000"/>
          <w:sz w:val="22"/>
        </w:rPr>
        <w:t xml:space="preserve">Operating permits—requirements.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val="false"/>
          <w:color w:val="000000"/>
          <w:sz w:val="22"/>
        </w:rPr>
        <w:t>Operation of equipment covered by this chapter without a current operating permit is prohibited, except for construction permits, controller upgrade permits, and temporary removals from service, all defined in this chapter. If operation of a conveyance is prohibited under this rule, the director may post notice on the conveyance that it is not to be used. The conveyance may be returned to service only after an operating permit for the conveyance has been issued or reissued.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val="false"/>
          <w:color w:val="000000"/>
          <w:sz w:val="22"/>
        </w:rPr>
        <w:t>Operating permits will not be issued prior to successful completion of an inspection and payment of all permit and inspection fees owed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71.7(3)</w:t>
      </w:r>
      <w:r>
        <w:rPr>
          <w:rFonts w:ascii="Times New Roman" w:hAnsi="Times New Roman"/>
          <w:b w:val="false"/>
          <w:i w:val="false"/>
          <w:color w:val="000000"/>
          <w:sz w:val="22"/>
        </w:rPr>
        <w:t> </w:t>
      </w:r>
      <w:r>
        <w:rPr>
          <w:rFonts w:ascii="Times New Roman" w:hAnsi="Times New Roman"/>
          <w:b w:val="false"/>
          <w:i w:val="false"/>
          <w:color w:val="000000"/>
          <w:sz w:val="22"/>
        </w:rPr>
        <w:t>Current operating permits or copies of current operating permits will be conspicuously displayed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operating permit for an elevator or CPH will be posted in the car.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operating permit for an escalator, dumbwaiter, wind tower lift, moving walk, or wheelchair lift will be posted on or near the subject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71.7(4)</w:t>
      </w:r>
      <w:r>
        <w:rPr>
          <w:rFonts w:ascii="Times New Roman" w:hAnsi="Times New Roman"/>
          <w:b w:val="false"/>
          <w:i w:val="false"/>
          <w:color w:val="000000"/>
          <w:sz w:val="22"/>
        </w:rPr>
        <w:t> </w:t>
      </w:r>
      <w:r>
        <w:rPr>
          <w:rFonts w:ascii="Times New Roman" w:hAnsi="Times New Roman"/>
          <w:b w:val="false"/>
          <w:i w:val="false"/>
          <w:color w:val="000000"/>
          <w:sz w:val="22"/>
        </w:rPr>
        <w:t>An operating permit expires 60 days after the first permit renewal inspection following the issuance of the operating permit, unless an earlier date is dictated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71.7(5)</w:t>
      </w:r>
      <w:r>
        <w:rPr>
          <w:rFonts w:ascii="Times New Roman" w:hAnsi="Times New Roman"/>
          <w:b w:val="false"/>
          <w:i w:val="false"/>
          <w:color w:val="000000"/>
          <w:sz w:val="22"/>
        </w:rPr>
        <w:t> </w:t>
      </w:r>
      <w:r>
        <w:rPr>
          <w:rFonts w:ascii="Times New Roman" w:hAnsi="Times New Roman"/>
          <w:b w:val="false"/>
          <w:i w:val="false"/>
          <w:color w:val="000000"/>
          <w:sz w:val="22"/>
        </w:rPr>
        <w:t>An operating permit is automatically suspended when an alteration begins. The operating permit automatically resumes when the elevator passes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71.7(6)</w:t>
      </w:r>
      <w:r>
        <w:rPr>
          <w:rFonts w:ascii="Times New Roman" w:hAnsi="Times New Roman"/>
          <w:b w:val="false"/>
          <w:i w:val="false"/>
          <w:color w:val="000000"/>
          <w:sz w:val="22"/>
        </w:rPr>
        <w:t> </w:t>
      </w:r>
      <w:r>
        <w:rPr>
          <w:rFonts w:ascii="Times New Roman" w:hAnsi="Times New Roman"/>
          <w:b w:val="false"/>
          <w:i w:val="false"/>
          <w:color w:val="000000"/>
          <w:sz w:val="22"/>
        </w:rPr>
        <w:t>An operating permit is automatically terminated when an imminent danger notice is posted on the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71.7(7)</w:t>
      </w:r>
      <w:r>
        <w:rPr>
          <w:rFonts w:ascii="Times New Roman" w:hAnsi="Times New Roman"/>
          <w:b w:val="false"/>
          <w:i w:val="false"/>
          <w:color w:val="000000"/>
          <w:sz w:val="22"/>
        </w:rPr>
        <w:t> </w:t>
      </w:r>
      <w:r>
        <w:rPr>
          <w:rFonts w:ascii="Times New Roman" w:hAnsi="Times New Roman"/>
          <w:b w:val="false"/>
          <w:i w:val="false"/>
          <w:color w:val="000000"/>
          <w:sz w:val="22"/>
        </w:rPr>
        <w:t>Notwithstanding other provisions of this rule, at the discretion of the director, a temporary operating permit may be issued for up to 30 days provided the inspection has been completed and no code violations were identified. Issuance of a temporary operating permit does not extend the expiration date of the conveyance’s operating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875—71.8</w:t>
      </w:r>
      <w:r>
        <w:rPr>
          <w:rFonts w:ascii="Times New Roman" w:hAnsi="Times New Roman"/>
          <w:b/>
          <w:i w:val="false"/>
          <w:color w:val="000000"/>
          <w:sz w:val="22"/>
        </w:rPr>
        <w:t xml:space="preserve">(89A) </w:t>
      </w:r>
      <w:r>
        <w:rPr>
          <w:rFonts w:ascii="Times New Roman" w:hAnsi="Times New Roman"/>
          <w:b/>
          <w:i w:val="false"/>
          <w:color w:val="000000"/>
          <w:sz w:val="22"/>
        </w:rPr>
        <w:t xml:space="preserve">Controller upgrade permits—requirements. </w:t>
      </w:r>
      <w:r>
        <w:rPr>
          <w:rFonts w:ascii="Times New Roman" w:hAnsi="Times New Roman"/>
          <w:b w:val="false"/>
          <w:i w:val="false"/>
          <w:color w:val="000000"/>
          <w:sz w:val="22"/>
        </w:rPr>
        <w:t>A controller upgrade permit may be issued to allow operation of an elevator while work to upgrade controls requires deactivation of the Phase I recall initiated by smoke sensing devices. Each elevator to be altered requires a separate controller upgrade permit. The duration of a controller upgrade permit will not exceed 90 days. Each elevator in the group will pass inspection prior to being placed back into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val="false"/>
          <w:color w:val="000000"/>
          <w:sz w:val="22"/>
        </w:rPr>
        <w:t>A controller upgrade permit will not be issued unless each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Two or more elevators share a lobby at the level of the recall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project includes the installation of new elevator controllers in all of the elevators in the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Phase I fire recall initiated by a key-operated switch and all other controls will be properly functioning for each elevator available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 current alteration permit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complete application for the controller upgrade permit and the fee established by this chapter have been submitted and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val="false"/>
          <w:color w:val="000000"/>
          <w:sz w:val="22"/>
        </w:rPr>
        <w:t>A controller upgrade permit does not waive or excuse compliance with the requirements of any other governmental entity, including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val="false"/>
          <w:color w:val="000000"/>
          <w:sz w:val="22"/>
        </w:rPr>
        <w:t>Upon the submission to the director of sufficient justification, the fee established by this chapter, and other required information, an extension of the permit for up to 60 days may be granted.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875—71.9</w:t>
      </w:r>
      <w:r>
        <w:rPr>
          <w:rFonts w:ascii="Times New Roman" w:hAnsi="Times New Roman"/>
          <w:b/>
          <w:i w:val="false"/>
          <w:color w:val="000000"/>
          <w:sz w:val="22"/>
        </w:rPr>
        <w:t xml:space="preserve">(89A) </w:t>
      </w:r>
      <w:r>
        <w:rPr>
          <w:rFonts w:ascii="Times New Roman" w:hAnsi="Times New Roman"/>
          <w:b/>
          <w:i w:val="false"/>
          <w:color w:val="000000"/>
          <w:sz w:val="22"/>
        </w:rPr>
        <w:t xml:space="preserve">Alteration permits—requirements.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w:t>
      </w:r>
      <w:r>
        <w:rPr>
          <w:rFonts w:ascii="Times New Roman" w:hAnsi="Times New Roman"/>
          <w:b w:val="false"/>
          <w:i w:val="false"/>
          <w:color w:val="000000"/>
          <w:sz w:val="22"/>
        </w:rPr>
        <w:t> </w:t>
      </w:r>
      <w:r>
        <w:rPr>
          <w:rFonts w:ascii="Times New Roman" w:hAnsi="Times New Roman"/>
          <w:b w:val="false"/>
          <w:i w:val="false"/>
          <w:color w:val="000000"/>
          <w:sz w:val="22"/>
        </w:rPr>
        <w:t>Alteration will not begin until an alteration permit has been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71.9(2)</w:t>
      </w:r>
      <w:r>
        <w:rPr>
          <w:rFonts w:ascii="Times New Roman" w:hAnsi="Times New Roman"/>
          <w:b w:val="false"/>
          <w:i w:val="false"/>
          <w:color w:val="000000"/>
          <w:sz w:val="22"/>
        </w:rPr>
        <w:t> </w:t>
      </w:r>
      <w:r>
        <w:rPr>
          <w:rFonts w:ascii="Times New Roman" w:hAnsi="Times New Roman"/>
          <w:b w:val="false"/>
          <w:i w:val="false"/>
          <w:color w:val="000000"/>
          <w:sz w:val="22"/>
        </w:rPr>
        <w:t>Application for an alteration permit will be in the format required by the director and will include scope of work, drawings and specifications of all planned changes and the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71.9(3)</w:t>
      </w:r>
      <w:r>
        <w:rPr>
          <w:rFonts w:ascii="Times New Roman" w:hAnsi="Times New Roman"/>
          <w:b w:val="false"/>
          <w:i w:val="false"/>
          <w:color w:val="000000"/>
          <w:sz w:val="22"/>
        </w:rPr>
        <w:t> </w:t>
      </w:r>
      <w:r>
        <w:rPr>
          <w:rFonts w:ascii="Times New Roman" w:hAnsi="Times New Roman"/>
          <w:b w:val="false"/>
          <w:i w:val="false"/>
          <w:color w:val="000000"/>
          <w:sz w:val="22"/>
        </w:rPr>
        <w:t>Issuance of an alteration permit is not a waiver of any requirement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71.9(4)</w:t>
      </w:r>
      <w:r>
        <w:rPr>
          <w:rFonts w:ascii="Times New Roman" w:hAnsi="Times New Roman"/>
          <w:b w:val="false"/>
          <w:i w:val="false"/>
          <w:color w:val="000000"/>
          <w:sz w:val="22"/>
        </w:rPr>
        <w:t> </w:t>
      </w:r>
      <w:r>
        <w:rPr>
          <w:rFonts w:ascii="Times New Roman" w:hAnsi="Times New Roman"/>
          <w:b w:val="false"/>
          <w:i w:val="false"/>
          <w:color w:val="000000"/>
          <w:sz w:val="22"/>
        </w:rPr>
        <w:t>The alteration permit or a copy of the alteration permit will be conspicuously posted at the worksite.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complete installation permit application was submitted for a CPH pursuant to subrule </w:t>
      </w:r>
      <w:r>
        <w:rPr>
          <w:rFonts w:ascii="Times New Roman" w:hAnsi="Times New Roman"/>
          <w:b w:val="false"/>
          <w:i w:val="false"/>
          <w:color w:val="000000"/>
          <w:sz w:val="22"/>
        </w:rPr>
        <w:t>71.5(3)</w:t>
      </w:r>
      <w:r>
        <w:rPr>
          <w:rFonts w:ascii="Times New Roman" w:hAnsi="Times New Roman"/>
          <w:b w:val="false"/>
          <w:i w:val="false"/>
          <w:color w:val="000000"/>
          <w:sz w:val="22"/>
        </w:rPr>
        <w:t>, at least seven days’ advance notice of each CPH jump will be provided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71.9(6)</w:t>
      </w:r>
      <w:r>
        <w:rPr>
          <w:rFonts w:ascii="Times New Roman" w:hAnsi="Times New Roman"/>
          <w:b w:val="false"/>
          <w:i w:val="false"/>
          <w:color w:val="000000"/>
          <w:sz w:val="22"/>
        </w:rPr>
        <w:t> </w:t>
      </w:r>
      <w:r>
        <w:rPr>
          <w:rFonts w:ascii="Times New Roman" w:hAnsi="Times New Roman"/>
          <w:b w:val="false"/>
          <w:i w:val="false"/>
          <w:color w:val="000000"/>
          <w:sz w:val="22"/>
        </w:rPr>
        <w:t>The alteration permit expires upon the earlier of the completion of the alteration as described in the permit application or one year after issuance. However, during the tenth month after issuance and upon submission to the director of the fee set forth in this chapter, sufficient justification, and other required information, the director may grant an extension of the alteration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875—71.10</w:t>
      </w:r>
      <w:r>
        <w:rPr>
          <w:rFonts w:ascii="Times New Roman" w:hAnsi="Times New Roman"/>
          <w:b/>
          <w:i w:val="false"/>
          <w:color w:val="000000"/>
          <w:sz w:val="22"/>
        </w:rPr>
        <w:t xml:space="preserve">(89A) </w:t>
      </w:r>
      <w:r>
        <w:rPr>
          <w:rFonts w:ascii="Times New Roman" w:hAnsi="Times New Roman"/>
          <w:b/>
          <w:i w:val="false"/>
          <w:color w:val="000000"/>
          <w:sz w:val="22"/>
        </w:rPr>
        <w:t xml:space="preserve">Alteration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71.10(1)</w:t>
      </w:r>
      <w:r>
        <w:rPr>
          <w:rFonts w:ascii="Times New Roman" w:hAnsi="Times New Roman"/>
          <w:b w:val="false"/>
          <w:i w:val="false"/>
          <w:color w:val="000000"/>
          <w:sz w:val="22"/>
        </w:rPr>
        <w:t> </w:t>
      </w:r>
      <w:r>
        <w:rPr>
          <w:rFonts w:ascii="Times New Roman" w:hAnsi="Times New Roman"/>
          <w:b w:val="false"/>
          <w:i w:val="false"/>
          <w:color w:val="000000"/>
          <w:sz w:val="22"/>
        </w:rPr>
        <w:t>Alterations or changes will comply with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71.10(2)</w:t>
      </w:r>
      <w:r>
        <w:rPr>
          <w:rFonts w:ascii="Times New Roman" w:hAnsi="Times New Roman"/>
          <w:b w:val="false"/>
          <w:i w:val="false"/>
          <w:color w:val="000000"/>
          <w:sz w:val="22"/>
        </w:rPr>
        <w:t> </w:t>
      </w:r>
      <w:r>
        <w:rPr>
          <w:rFonts w:ascii="Times New Roman" w:hAnsi="Times New Roman"/>
          <w:b w:val="false"/>
          <w:i w:val="false"/>
          <w:color w:val="000000"/>
          <w:sz w:val="22"/>
        </w:rPr>
        <w:t>A conveyance that is relocated will be brought into compliance with all codes that are applicable at the time of relocation.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71.10(3)</w:t>
      </w:r>
      <w:r>
        <w:rPr>
          <w:rFonts w:ascii="Times New Roman" w:hAnsi="Times New Roman"/>
          <w:b w:val="false"/>
          <w:i w:val="false"/>
          <w:color w:val="000000"/>
          <w:sz w:val="22"/>
        </w:rPr>
        <w:t> </w:t>
      </w:r>
      <w:r>
        <w:rPr>
          <w:rFonts w:ascii="Times New Roman" w:hAnsi="Times New Roman"/>
          <w:b w:val="false"/>
          <w:i w:val="false"/>
          <w:color w:val="000000"/>
          <w:sz w:val="22"/>
        </w:rPr>
        <w:t>Alterations of conveyances other than escalators and elevators require that the entire conveyance be brought into compliance with the current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71.10(4)</w:t>
      </w:r>
      <w:r>
        <w:rPr>
          <w:rFonts w:ascii="Times New Roman" w:hAnsi="Times New Roman"/>
          <w:b w:val="false"/>
          <w:i w:val="false"/>
          <w:color w:val="000000"/>
          <w:sz w:val="22"/>
        </w:rPr>
        <w:t> </w:t>
      </w:r>
      <w:r>
        <w:rPr>
          <w:rFonts w:ascii="Times New Roman" w:hAnsi="Times New Roman"/>
          <w:b w:val="false"/>
          <w:i w:val="false"/>
          <w:color w:val="000000"/>
          <w:sz w:val="22"/>
        </w:rPr>
        <w:t>Work required by ASME A17.3 (2011) qualifies as normal maintenance and does not require an alteration permit except for work performed to comply with ASME A17.3 (2011) 2.3.3, 3.4.4.1(a), 3.4.4.2, 3.5.3, 3.5.5(a) and (b), 3.5.7, 3.6.1, 3.6.2, 3.8.1(a), 3.8.3(a), 3.10.1, 3.10.4(b) through (g), 3.10.4(i) through (k), 3.10.4(m), 3.10.4(r), 3.10.4(w), 3.10.7, 3.10.9, 3.10.10, 4.4.2, 4.4.3, and 4.7.3.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875—71.11</w:t>
      </w:r>
      <w:r>
        <w:rPr>
          <w:rFonts w:ascii="Times New Roman" w:hAnsi="Times New Roman"/>
          <w:b/>
          <w:i w:val="false"/>
          <w:color w:val="000000"/>
          <w:sz w:val="22"/>
        </w:rPr>
        <w:t xml:space="preserve">(89A) </w:t>
      </w:r>
      <w:r>
        <w:rPr>
          <w:rFonts w:ascii="Times New Roman" w:hAnsi="Times New Roman"/>
          <w:b/>
          <w:i w:val="false"/>
          <w:color w:val="000000"/>
          <w:sz w:val="22"/>
        </w:rPr>
        <w:t xml:space="preserve">Inspection requirements. </w:t>
      </w:r>
      <w:r>
        <w:rPr>
          <w:rFonts w:ascii="Times New Roman" w:hAnsi="Times New Roman"/>
          <w:b w:val="false"/>
          <w:i w:val="false"/>
          <w:color w:val="000000"/>
          <w:sz w:val="22"/>
        </w:rPr>
        <w:t xml:space="preserve">Pursuant to Iowa Code section </w:t>
      </w:r>
      <w:hyperlink r:id="rId10">
        <w:r>
          <w:rPr>
            <w:rStyle w:val="Hyperlink"/>
            <w:rFonts w:ascii="Times New Roman" w:hAnsi="Times New Roman"/>
            <w:b w:val="false"/>
            <w:i w:val="false"/>
            <w:color w:val="000000"/>
            <w:sz w:val="22"/>
          </w:rPr>
          <w:t>89A.12</w:t>
        </w:r>
      </w:hyperlink>
      <w:r>
        <w:rPr>
          <w:rFonts w:ascii="Times New Roman" w:hAnsi="Times New Roman"/>
          <w:b w:val="false"/>
          <w:i w:val="false"/>
          <w:color w:val="000000"/>
          <w:sz w:val="22"/>
        </w:rPr>
        <w:t>, inspections by the director will be permitted at reasonable times with or without prior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71.11(1)</w:t>
      </w:r>
      <w:r>
        <w:rPr>
          <w:rFonts w:ascii="Times New Roman" w:hAnsi="Times New Roman"/>
          <w:b w:val="false"/>
          <w:i w:val="false"/>
          <w:color w:val="000000"/>
          <w:sz w:val="22"/>
        </w:rPr>
        <w:t> </w:t>
      </w:r>
      <w:r>
        <w:rPr>
          <w:rFonts w:ascii="Times New Roman" w:hAnsi="Times New Roman"/>
          <w:b w:val="false"/>
          <w:i/>
          <w:color w:val="000000"/>
          <w:sz w:val="22"/>
        </w:rPr>
        <w:t xml:space="preserve">Scope of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Comprehensive. </w:t>
      </w:r>
      <w:r>
        <w:rPr>
          <w:rFonts w:ascii="Times New Roman" w:hAnsi="Times New Roman"/>
          <w:b w:val="false"/>
          <w:i w:val="false"/>
          <w:color w:val="000000"/>
          <w:sz w:val="22"/>
        </w:rPr>
        <w:t>Periodic inspections will be comprehensive. Elevators being transferred from construction permits to operating permits, previously dormant conveyances being returned to service, relocated conveyances, and new conveyances will be inspected in their entirety prior to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Limited. </w:t>
      </w:r>
      <w:r>
        <w:rPr>
          <w:rFonts w:ascii="Times New Roman" w:hAnsi="Times New Roman"/>
          <w:b w:val="false"/>
          <w:i w:val="false"/>
          <w:color w:val="000000"/>
          <w:sz w:val="22"/>
        </w:rPr>
        <w:t>An alteration inspection is normally limited to the altered components. If the inspector notices a safety hazard in plain view during an inspection after alteration, or if the periodic inspection is due, the entire conveyance will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71.11(2)</w:t>
      </w:r>
      <w:r>
        <w:rPr>
          <w:rFonts w:ascii="Times New Roman" w:hAnsi="Times New Roman"/>
          <w:b w:val="false"/>
          <w:i w:val="false"/>
          <w:color w:val="000000"/>
          <w:sz w:val="22"/>
        </w:rPr>
        <w:t> </w:t>
      </w:r>
      <w:r>
        <w:rPr>
          <w:rFonts w:ascii="Times New Roman" w:hAnsi="Times New Roman"/>
          <w:b w:val="false"/>
          <w:i/>
          <w:color w:val="000000"/>
          <w:sz w:val="22"/>
        </w:rPr>
        <w:t xml:space="preserve">When inspections will occur. </w:t>
      </w:r>
      <w:r>
        <w:rPr>
          <w:rFonts w:ascii="Times New Roman" w:hAnsi="Times New Roman"/>
          <w:b w:val="false"/>
          <w:i w:val="false"/>
          <w:color w:val="000000"/>
          <w:sz w:val="22"/>
        </w:rPr>
        <w:t>When the timing of two different types of inspection on a single conveyance coincide, a state inspector may perform both inspections in one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Periodic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construction elevator and CPH will be inspected at intervals not to exceed three months. All other periodic conveyance inspections by state inspectors are conducted annually unless the director determines resources do not allow annual inspections. If the director determines quarterly inspections of construction elevators and CPHs and annual inspections of other state-inspected conveyances are not feasible due to insufficient resources, the director will determine the inspection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Conveyance inspections by special inspectors will be conducted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inspector will arrange to perform the periodic inspection of a broadcast tower elevator when the maintenance company is on site to perform the periodic tests. If the inspection is to be performed by employees of the director, the inspection will occur during the department’s normal business hours, unless otherwise agreed to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Acceptance inspections. </w:t>
      </w:r>
      <w:r>
        <w:rPr>
          <w:rFonts w:ascii="Times New Roman" w:hAnsi="Times New Roman"/>
          <w:b w:val="false"/>
          <w:i w:val="false"/>
          <w:color w:val="000000"/>
          <w:sz w:val="22"/>
        </w:rPr>
        <w:t xml:space="preserve">A CPH will be inspected pursuant to the schedule in ANSI A10.4 – 2007, Chapter </w:t>
      </w:r>
      <w:r>
        <w:rPr>
          <w:rFonts w:ascii="Times New Roman" w:hAnsi="Times New Roman"/>
          <w:b w:val="false"/>
          <w:i w:val="false"/>
          <w:color w:val="000000"/>
          <w:sz w:val="22"/>
        </w:rPr>
        <w:t>26</w:t>
      </w:r>
      <w:r>
        <w:rPr>
          <w:rFonts w:ascii="Times New Roman" w:hAnsi="Times New Roman"/>
          <w:b w:val="false"/>
          <w:i w:val="false"/>
          <w:color w:val="000000"/>
          <w:sz w:val="22"/>
        </w:rPr>
        <w:t>. For all other conveyances, an acceptance inspection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each relocation,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each alteration,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new installation, not less than two business days after a completed acceptance checklist is submitted by the conveyance installation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Before an elevator subject to a construction permit receives an operating permit,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Before a previously dormant conveyance is returned to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inspections. </w:t>
      </w:r>
      <w:r>
        <w:rPr>
          <w:rFonts w:ascii="Times New Roman" w:hAnsi="Times New Roman"/>
          <w:b w:val="false"/>
          <w:i w:val="false"/>
          <w:color w:val="000000"/>
          <w:sz w:val="22"/>
        </w:rPr>
        <w:t>Inspections may be made when the director reasonably believes that a conveyance is not in compliance with the rules. Accidents, complaints, or requests for consultative inspections may result in inspections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71.11(3)</w:t>
      </w:r>
      <w:r>
        <w:rPr>
          <w:rFonts w:ascii="Times New Roman" w:hAnsi="Times New Roman"/>
          <w:b w:val="false"/>
          <w:i w:val="false"/>
          <w:color w:val="000000"/>
          <w:sz w:val="22"/>
        </w:rPr>
        <w:t> </w:t>
      </w:r>
      <w:r>
        <w:rPr>
          <w:rFonts w:ascii="Times New Roman" w:hAnsi="Times New Roman"/>
          <w:b w:val="false"/>
          <w:i/>
          <w:color w:val="000000"/>
          <w:sz w:val="22"/>
        </w:rPr>
        <w:t xml:space="preserve">Who may perform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will inspect altered conveyances, construction elevators, CPHs, previously dormant conveyances being returned to service, relocated conveyances, and new conveyances.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noted in </w:t>
      </w:r>
      <w:r>
        <w:rPr>
          <w:rFonts w:ascii="Times New Roman" w:hAnsi="Times New Roman"/>
          <w:b w:val="false"/>
          <w:i w:val="false"/>
          <w:color w:val="000000"/>
          <w:sz w:val="22"/>
        </w:rPr>
        <w:t>71.11(3)</w:t>
      </w:r>
      <w:r>
        <w:rPr>
          <w:rFonts w:ascii="Times New Roman" w:hAnsi="Times New Roman"/>
          <w:b w:val="false"/>
          <w:i/>
          <w:color w:val="000000"/>
          <w:sz w:val="22"/>
        </w:rPr>
        <w:t>“c,”</w:t>
      </w:r>
      <w:r>
        <w:rPr>
          <w:rFonts w:ascii="Times New Roman" w:hAnsi="Times New Roman"/>
          <w:b w:val="false"/>
          <w:i w:val="false"/>
          <w:color w:val="000000"/>
          <w:sz w:val="22"/>
        </w:rPr>
        <w:t xml:space="preserve"> annual inspections may be performed by state inspectors or special inspectors authorized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inspection report by a special inspector will not be accepted as the required, annual inspection if the conveyance is under contract for maintenance, installation or alteration by the special inspector or the special inspector’s employer, or if the property is owned or leased by the special inspector or the special inspector’s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71.11(4)</w:t>
      </w:r>
      <w:r>
        <w:rPr>
          <w:rFonts w:ascii="Times New Roman" w:hAnsi="Times New Roman"/>
          <w:b w:val="false"/>
          <w:i w:val="false"/>
          <w:color w:val="000000"/>
          <w:sz w:val="22"/>
        </w:rPr>
        <w:t> </w:t>
      </w:r>
      <w:r>
        <w:rPr>
          <w:rFonts w:ascii="Times New Roman" w:hAnsi="Times New Roman"/>
          <w:b w:val="false"/>
          <w:i/>
          <w:color w:val="000000"/>
          <w:sz w:val="22"/>
        </w:rPr>
        <w:t xml:space="preserve">Inspection standards. </w:t>
      </w:r>
      <w:r>
        <w:rPr>
          <w:rFonts w:ascii="Times New Roman" w:hAnsi="Times New Roman"/>
          <w:b w:val="false"/>
          <w:i w:val="false"/>
          <w:color w:val="000000"/>
          <w:sz w:val="22"/>
        </w:rPr>
        <w:t>Inspections will be performed in accordance with applicable safety codes or documents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CCD;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A17.1, Sections 8.10 and 8.11, except Section 8.11.1.1;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A10.4-2007;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ASME A18.1.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71.11(5)</w:t>
      </w:r>
      <w:r>
        <w:rPr>
          <w:rFonts w:ascii="Times New Roman" w:hAnsi="Times New Roman"/>
          <w:b w:val="false"/>
          <w:i w:val="false"/>
          <w:color w:val="000000"/>
          <w:sz w:val="22"/>
        </w:rPr>
        <w:t> </w:t>
      </w:r>
      <w:r>
        <w:rPr>
          <w:rFonts w:ascii="Times New Roman" w:hAnsi="Times New Roman"/>
          <w:b w:val="false"/>
          <w:i/>
          <w:color w:val="000000"/>
          <w:sz w:val="22"/>
        </w:rPr>
        <w:t xml:space="preserve">Inspection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inspectors will file inspection reports on forms approved by the director within 30 days from the date of inspection and will provide owners of conveyances with copies of completed inspection reports. The inspection report must separately list each unsafe condition and the applicable, specific code citation. Up to 30 days will be allowed for correction of the unsafe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may file a petition for reconsideration of an inspection report. The timely and proper filing of a petition for reconsideration extends the deadline for correction of the hazards that are subject to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71.11(6)</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w:t>
      </w:r>
      <w:r>
        <w:rPr>
          <w:rFonts w:ascii="Times New Roman" w:hAnsi="Times New Roman"/>
          <w:b w:val="false"/>
          <w:i w:val="false"/>
          <w:color w:val="000000"/>
          <w:sz w:val="22"/>
        </w:rPr>
        <w:t>The owner may petition the director for up to 60 additional days to make the necessary corrections. The time frames may be adjusted by the director as necessary to accommodate an extension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71.11(7)</w:t>
      </w:r>
      <w:r>
        <w:rPr>
          <w:rFonts w:ascii="Times New Roman" w:hAnsi="Times New Roman"/>
          <w:b w:val="false"/>
          <w:i w:val="false"/>
          <w:color w:val="000000"/>
          <w:sz w:val="22"/>
        </w:rPr>
        <w:t> </w:t>
      </w:r>
      <w:r>
        <w:rPr>
          <w:rFonts w:ascii="Times New Roman" w:hAnsi="Times New Roman"/>
          <w:b w:val="false"/>
          <w:i/>
          <w:color w:val="000000"/>
          <w:sz w:val="22"/>
        </w:rPr>
        <w:t xml:space="preserve">Correction of unsafe conditions. </w:t>
      </w:r>
      <w:r>
        <w:rPr>
          <w:rFonts w:ascii="Times New Roman" w:hAnsi="Times New Roman"/>
          <w:b w:val="false"/>
          <w:i w:val="false"/>
          <w:color w:val="000000"/>
          <w:sz w:val="22"/>
        </w:rPr>
        <w:t>In the absence of a determination on reconsideration or appeal that correction of hazards is not required, all unsafe conditions identified in the inspection report will be corrected. The director will verify correction of all unsafe conditions identified in the inspection report by sending a state inspector to reinspect the conveyance for the applicable fee, or by reviewing appropriate documentation such as a photograph, invoice, other verifiable document, or subsequent inspection report. The time frames set forth in this subrule may be accelerated at the request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Promptly upon receipt of an inspection report listing unsafe conditions, the director will send to the owner and the special inspector, if any, an abatement order. A copy of the inspection report will be attached to the abatement order. Unless a special inspector conducted the inspection, the order may specify a period that ends no more than 45 days after the inspection during which the owner may submit written evidence that the unsafe conditions have been corrected. The abatement order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Demand that the unsafe conditions be corrected within the period set forth in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 forth the consequences of failure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period specified on the inspection report has passed, the director may cause a state inspector to verify correction of all unsafe conditions. If reinspection reveals no significant progress toward correcting the unsafe conditions, or the remaining unsafe conditions create significant safety concerns, the director may serve a notice of intent to suspend, deny or revoke the operating permit.</w:t>
      </w:r>
    </w:p>
    <w:p>
      <w:pPr>
        <w:spacing w:before="0" w:after="0"/>
        <w:ind w:left="120"/>
        <w:jc w:val="both"/>
      </w:pPr>
      <w:r>
        <w:rPr>
          <w:rFonts w:ascii="Times New Roman" w:hAnsi="Times New Roman"/>
          <w:b w:val="false"/>
          <w:i w:val="false"/>
          <w:color w:val="000000"/>
          <w:sz w:val="22"/>
        </w:rPr>
        <w:t>If there is a serious danger, the director may seal off the conveyance and post notice on the conveyance that it is not to be used pending repairs. Use of a conveyance prior to completion of the required repairs may result in additional legal proceedings. The conveyance may be returned to service only after the serious danger has been corrected and the conveyance has passed a comprehensive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may issue an operating permit after receipt of the appropriate fee and verification that each unsafe condition identified in the inspection report has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written proof of correction was requested in the abatement order, but adequate proof was not received by the deadline set forth in the abatement order, the director may send a second abatement order or cause a state inspector to inspect the conveyance. If the director elects to send a second abatement order, it will notify the owner that, if written proof of abatement is not received within 20 days, a state inspector may be sent to the site. Copies of the abatement order and the inspection report will be attached to the second abatement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special inspector conducted the inspection, more than 45 days have passed since the deadline for correction of hazards, and an inspection report indicating the hazards are corrected has not been filed, the director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the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Send a second abatement order to the owner with copies of the inspection report and first abatement order,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Send a state inspector to inspect the conveyance. If there is a serious danger, the director may seal off the conveyance and post notice on the conveyance that it is not to be used pending repairs. Use of a conveyance prior to completion of the required repairs may result in additional legal proceedings. The conveyance may be returned to service only after the serious danger has been corrected and the conveyance has passed a comprehensive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inspection as described in paragraph </w:t>
      </w:r>
      <w:r>
        <w:rPr>
          <w:rFonts w:ascii="Times New Roman" w:hAnsi="Times New Roman"/>
          <w:b w:val="false"/>
          <w:i w:val="false"/>
          <w:color w:val="000000"/>
          <w:sz w:val="22"/>
        </w:rPr>
        <w:t>71.11(7)</w:t>
      </w:r>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reveals no significant progress toward correcting the unsafe conditions, and the remaining unsafe conditions create no significant safety concerns, the director may extend the time for abatement of the unsafe conditions an additional ten days or may serve a notice of intent to suspend, deny or revoke the operating permit. The director may also post a notice prohibiting use of the conveyance pending abatement of the unsafe conditions listed in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an abatement order was provided and a conveyance is not in use and the owner does not intend to use the conveyance, repair the conveyance, or make the conveyance dormant, the director may seal off the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71.11(8)</w:t>
      </w:r>
      <w:r>
        <w:rPr>
          <w:rFonts w:ascii="Times New Roman" w:hAnsi="Times New Roman"/>
          <w:b w:val="false"/>
          <w:i w:val="false"/>
          <w:color w:val="000000"/>
          <w:sz w:val="22"/>
        </w:rPr>
        <w:t> </w:t>
      </w:r>
      <w:r>
        <w:rPr>
          <w:rFonts w:ascii="Times New Roman" w:hAnsi="Times New Roman"/>
          <w:b w:val="false"/>
          <w:i/>
          <w:color w:val="000000"/>
          <w:sz w:val="22"/>
        </w:rPr>
        <w:t xml:space="preserve">Imminent danger. </w:t>
      </w:r>
      <w:r>
        <w:rPr>
          <w:rFonts w:ascii="Times New Roman" w:hAnsi="Times New Roman"/>
          <w:b w:val="false"/>
          <w:i w:val="false"/>
          <w:color w:val="000000"/>
          <w:sz w:val="22"/>
        </w:rPr>
        <w:t xml:space="preserve">If the director determines that continued operation of a conveyance pending correction of unsafe conditions creates an imminent danger, the director may seal off the conveyance and post notice on the conveyance that it is not to be used pending repairs. Use of a conveyance contrary to posted notice by the director may result in additional legal proceedings pursuant to Iowa Code section </w:t>
      </w:r>
      <w:hyperlink r:id="rId11">
        <w:r>
          <w:rPr>
            <w:rStyle w:val="Hyperlink"/>
            <w:rFonts w:ascii="Times New Roman" w:hAnsi="Times New Roman"/>
            <w:b w:val="false"/>
            <w:i w:val="false"/>
            <w:color w:val="000000"/>
            <w:sz w:val="22"/>
          </w:rPr>
          <w:t>89A.10(3)</w:t>
        </w:r>
      </w:hyperlink>
      <w:r>
        <w:rPr>
          <w:rFonts w:ascii="Times New Roman" w:hAnsi="Times New Roman"/>
          <w:b w:val="false"/>
          <w:i w:val="false"/>
          <w:color w:val="000000"/>
          <w:sz w:val="22"/>
        </w:rPr>
        <w:t xml:space="preserve"> or 89A.18. The conveyance may be returned to service only after the imminent danger has been corrected and the conveyance has passed a comprehensive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71.11(9)</w:t>
      </w:r>
      <w:r>
        <w:rPr>
          <w:rFonts w:ascii="Times New Roman" w:hAnsi="Times New Roman"/>
          <w:b w:val="false"/>
          <w:i w:val="false"/>
          <w:color w:val="000000"/>
          <w:sz w:val="22"/>
        </w:rPr>
        <w:t> </w:t>
      </w:r>
      <w:r>
        <w:rPr>
          <w:rFonts w:ascii="Times New Roman" w:hAnsi="Times New Roman"/>
          <w:b w:val="false"/>
          <w:i/>
          <w:color w:val="000000"/>
          <w:sz w:val="22"/>
        </w:rPr>
        <w:t xml:space="preserve">Interference prohibited. </w:t>
      </w:r>
      <w:r>
        <w:rPr>
          <w:rFonts w:ascii="Times New Roman" w:hAnsi="Times New Roman"/>
          <w:b w:val="false"/>
          <w:i w:val="false"/>
          <w:color w:val="000000"/>
          <w:sz w:val="22"/>
        </w:rPr>
        <w:t>No person shall interfere with, delay or impede an inspector employed by the state during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71.11(10)</w:t>
      </w:r>
      <w:r>
        <w:rPr>
          <w:rFonts w:ascii="Times New Roman" w:hAnsi="Times New Roman"/>
          <w:b w:val="false"/>
          <w:i w:val="false"/>
          <w:color w:val="000000"/>
          <w:sz w:val="22"/>
        </w:rPr>
        <w:t> </w:t>
      </w:r>
      <w:r>
        <w:rPr>
          <w:rFonts w:ascii="Times New Roman" w:hAnsi="Times New Roman"/>
          <w:b w:val="false"/>
          <w:i/>
          <w:color w:val="000000"/>
          <w:sz w:val="22"/>
        </w:rPr>
        <w:t xml:space="preserve">Escalator inspections. </w:t>
      </w:r>
      <w:r>
        <w:rPr>
          <w:rFonts w:ascii="Times New Roman" w:hAnsi="Times New Roman"/>
          <w:b w:val="false"/>
          <w:i w:val="false"/>
          <w:color w:val="000000"/>
          <w:sz w:val="22"/>
        </w:rPr>
        <w:t>The owner will arrange for an escalator mechanic to be on site to assist with the inspection. The inspector will work with the owner to arrange an inspection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875—71.12</w:t>
      </w:r>
      <w:r>
        <w:rPr>
          <w:rFonts w:ascii="Times New Roman" w:hAnsi="Times New Roman"/>
          <w:b/>
          <w:i w:val="false"/>
          <w:color w:val="000000"/>
          <w:sz w:val="22"/>
        </w:rPr>
        <w:t xml:space="preserve">(89A,252J,272D) </w:t>
      </w:r>
      <w:r>
        <w:rPr>
          <w:rFonts w:ascii="Times New Roman" w:hAnsi="Times New Roman"/>
          <w:b/>
          <w:i w:val="false"/>
          <w:color w:val="000000"/>
          <w:sz w:val="22"/>
        </w:rPr>
        <w:t xml:space="preserve">Special inspector commissions.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As used in this rule, “certificate of noncompliance”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of noncompliance issued by the child support recovery unit, department of human services, pursuant to Iowa Code chapter </w:t>
      </w:r>
      <w:hyperlink r:id="rId1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of noncompliance issued by the centralized collection unit of the department of revenue pursuant to Iowa Code chapter </w:t>
      </w:r>
      <w:hyperlink r:id="rId13">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applicant will possess a high school diploma or general equivalency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applicant will have at least three years of full-time work experience in the construction, installation, repair or inspection of conveyances.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applicant will be a CEI.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applicant will satisfactorily pass the department’s examination on Iowa procedures, Iowa policies, and all safety standards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applicant will submit proof of insurance coverage insuring the applicant against liability for injury or death for any act or omission on the part of the applicant. The insurance policy will be in an amount of not less than $1,000,000 for bodily injury to or death of one person in any one accident, and in an amount of not less than $5,000,000 for bodily injury to or death of two or more persons in any one accident, and in an amount of not less than $100,000 for damage to or destruction of property in any one accident. The insurance coverage of the special inspector’s employer complies with this requirement if the coverage provides equivalent coverage for each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71.12(3)</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applicant for a commission will complete, sign, and submit to the department the form provided by the department with the required fee. The applicant will include with the application proof that the applicant is a CEI.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71.12(4)</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The commission expires when the commission is suspended or revoked by the director or one year from issuance, whichever occurs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71.12(5)</w:t>
      </w:r>
      <w:r>
        <w:rPr>
          <w:rFonts w:ascii="Times New Roman" w:hAnsi="Times New Roman"/>
          <w:b w:val="false"/>
          <w:i w:val="false"/>
          <w:color w:val="000000"/>
          <w:sz w:val="22"/>
        </w:rPr>
        <w:t> </w:t>
      </w:r>
      <w:r>
        <w:rPr>
          <w:rFonts w:ascii="Times New Roman" w:hAnsi="Times New Roman"/>
          <w:b w:val="false"/>
          <w:i/>
          <w:color w:val="000000"/>
          <w:sz w:val="22"/>
        </w:rPr>
        <w:t xml:space="preserve">Changes. </w:t>
      </w:r>
      <w:r>
        <w:rPr>
          <w:rFonts w:ascii="Times New Roman" w:hAnsi="Times New Roman"/>
          <w:b w:val="false"/>
          <w:i w:val="false"/>
          <w:color w:val="000000"/>
          <w:sz w:val="22"/>
        </w:rPr>
        <w:t>The special inspector shall notify the department at the time any of the information on the form or attachments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71.12(6)</w:t>
      </w:r>
      <w:r>
        <w:rPr>
          <w:rFonts w:ascii="Times New Roman" w:hAnsi="Times New Roman"/>
          <w:b w:val="false"/>
          <w:i w:val="false"/>
          <w:color w:val="000000"/>
          <w:sz w:val="22"/>
        </w:rPr>
        <w:t> </w:t>
      </w:r>
      <w:r>
        <w:rPr>
          <w:rFonts w:ascii="Times New Roman" w:hAnsi="Times New Roman"/>
          <w:b w:val="false"/>
          <w:i/>
          <w:color w:val="000000"/>
          <w:sz w:val="22"/>
        </w:rPr>
        <w:t xml:space="preserve">Denials. </w:t>
      </w:r>
      <w:r>
        <w:rPr>
          <w:rFonts w:ascii="Times New Roman" w:hAnsi="Times New Roman"/>
          <w:b w:val="false"/>
          <w:i w:val="false"/>
          <w:color w:val="000000"/>
          <w:sz w:val="22"/>
        </w:rPr>
        <w:t xml:space="preserve">The director may refuse to issue or renew a special inspector’s commission for failure of the applicant to complete an application package, if the applicant is not a CEI, or for any reason listed in subrules </w:t>
      </w:r>
      <w:r>
        <w:rPr>
          <w:rFonts w:ascii="Times New Roman" w:hAnsi="Times New Roman"/>
          <w:b w:val="false"/>
          <w:i w:val="false"/>
          <w:color w:val="000000"/>
          <w:sz w:val="22"/>
        </w:rPr>
        <w:t>71.12(8) through 71.12(10)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71.12(7)</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The director may investigate for any reasonable cause related to special inspectors or special inspector applicants. The director may conduct interviews and utilize other reasonable investigatory techniques. Investigations may be conducted without prior notice at the times and in the places the director directs. The director may notify the organization that certified the special inspector as a CEI of the findings of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71.12(8)</w:t>
      </w:r>
      <w:r>
        <w:rPr>
          <w:rFonts w:ascii="Times New Roman" w:hAnsi="Times New Roman"/>
          <w:b w:val="false"/>
          <w:i w:val="false"/>
          <w:color w:val="000000"/>
          <w:sz w:val="22"/>
        </w:rPr>
        <w:t> </w:t>
      </w:r>
      <w:r>
        <w:rPr>
          <w:rFonts w:ascii="Times New Roman" w:hAnsi="Times New Roman"/>
          <w:b w:val="false"/>
          <w:i/>
          <w:color w:val="000000"/>
          <w:sz w:val="22"/>
        </w:rPr>
        <w:t xml:space="preserve">Reasons for probation. </w:t>
      </w:r>
      <w:r>
        <w:rPr>
          <w:rFonts w:ascii="Times New Roman" w:hAnsi="Times New Roman"/>
          <w:b w:val="false"/>
          <w:i w:val="false"/>
          <w:color w:val="000000"/>
          <w:sz w:val="22"/>
        </w:rPr>
        <w:t>The director may issue a notice of commission probation when an investigation reasonably reveals that the special inspector filed inaccurate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71.12(9)</w:t>
      </w:r>
      <w:r>
        <w:rPr>
          <w:rFonts w:ascii="Times New Roman" w:hAnsi="Times New Roman"/>
          <w:b w:val="false"/>
          <w:i w:val="false"/>
          <w:color w:val="000000"/>
          <w:sz w:val="22"/>
        </w:rPr>
        <w:t> </w:t>
      </w:r>
      <w:r>
        <w:rPr>
          <w:rFonts w:ascii="Times New Roman" w:hAnsi="Times New Roman"/>
          <w:b w:val="false"/>
          <w:i/>
          <w:color w:val="000000"/>
          <w:sz w:val="22"/>
        </w:rPr>
        <w:t xml:space="preserve">Reasons for suspension. </w:t>
      </w:r>
      <w:r>
        <w:rPr>
          <w:rFonts w:ascii="Times New Roman" w:hAnsi="Times New Roman"/>
          <w:b w:val="false"/>
          <w:i w:val="false"/>
          <w:color w:val="000000"/>
          <w:sz w:val="22"/>
        </w:rPr>
        <w:t>The director may issue a notice of commission suspension when an investigation reasonably reveals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submit and report inspections on a timely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special inspector abused the special inspector’s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special inspector misrepresented self as a state inspector or a state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commission authority for inappropriate personal 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follow the department’s rules for inspection of object repairs, alterations, construction, installation, or in-service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special inspector committed numerous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fraud or deception to obtain or retain, or to attempt to obtain or retain, a special inspector commission whether for one’s self 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special inspector is no longer a CEI;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department received a certificate of noncompliance;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failed to take appropriate disciplinary actions against a subordinate special inspector who has committed repeated acts or omissions listed herein.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71.12(10)</w:t>
      </w:r>
      <w:r>
        <w:rPr>
          <w:rFonts w:ascii="Times New Roman" w:hAnsi="Times New Roman"/>
          <w:b w:val="false"/>
          <w:i w:val="false"/>
          <w:color w:val="000000"/>
          <w:sz w:val="22"/>
        </w:rPr>
        <w:t> </w:t>
      </w:r>
      <w:r>
        <w:rPr>
          <w:rFonts w:ascii="Times New Roman" w:hAnsi="Times New Roman"/>
          <w:b w:val="false"/>
          <w:i/>
          <w:color w:val="000000"/>
          <w:sz w:val="22"/>
        </w:rPr>
        <w:t xml:space="preserve">Reasons for revocation. </w:t>
      </w:r>
      <w:r>
        <w:rPr>
          <w:rFonts w:ascii="Times New Roman" w:hAnsi="Times New Roman"/>
          <w:b w:val="false"/>
          <w:i w:val="false"/>
          <w:color w:val="000000"/>
          <w:sz w:val="22"/>
        </w:rPr>
        <w:t>The director may issue a notice of revocation of a special inspector’s commission when an investigation reveals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filed a misleading, false or fraudulent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perform a required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file a report or filed a report that was not in accordance with the provisions of applicable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special inspector committed repeated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fraud or deception to obtain or retain, or to attempt to obtain or retain, a special inspector commission whether for one’s self 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instructed, ordered, or otherwise encouraged a subordinate special inspector to perform acts or omissions listed herein;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special inspector is no longer a CEI;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received a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71.12(11)</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The following procedures shall apply except in the event of revocation or suspension due to receipt of a certificate of noncompliance. In instances involving receipt of a certificate of noncompliance, the applicable procedures of Iowa Code chapter </w:t>
      </w:r>
      <w:hyperlink r:id="rId1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272D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actions. </w:t>
      </w:r>
      <w:r>
        <w:rPr>
          <w:rFonts w:ascii="Times New Roman" w:hAnsi="Times New Roman"/>
          <w:b w:val="false"/>
          <w:i w:val="false"/>
          <w:color w:val="000000"/>
          <w:sz w:val="22"/>
        </w:rPr>
        <w:t xml:space="preserve">The director will serve a notice on the special inspector by certified mail to an address listed on the commission application form or by other service as permitted by Iowa Code chapter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Emergency suspension. </w:t>
      </w:r>
      <w:r>
        <w:rPr>
          <w:rFonts w:ascii="Times New Roman" w:hAnsi="Times New Roman"/>
          <w:b w:val="false"/>
          <w:i w:val="false"/>
          <w:color w:val="000000"/>
          <w:sz w:val="22"/>
        </w:rPr>
        <w:t>If the director finds that the public health, safety or welfare imperatively requires emergency action because a special inspector failed to comply with applicable laws or rules, the special inspector’s commission may be summarily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Probation period. </w:t>
      </w:r>
      <w:r>
        <w:rPr>
          <w:rFonts w:ascii="Times New Roman" w:hAnsi="Times New Roman"/>
          <w:b w:val="false"/>
          <w:i w:val="false"/>
          <w:color w:val="000000"/>
          <w:sz w:val="22"/>
        </w:rPr>
        <w:t>A special inspector may be placed on probation for a period not to exceed one year for each incident causing 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Suspension period. </w:t>
      </w:r>
      <w:r>
        <w:rPr>
          <w:rFonts w:ascii="Times New Roman" w:hAnsi="Times New Roman"/>
          <w:b w:val="false"/>
          <w:i w:val="false"/>
          <w:color w:val="000000"/>
          <w:sz w:val="22"/>
        </w:rPr>
        <w:t>A special inspector’s commission may be suspended up to five years for each incident causing a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Revocation period. </w:t>
      </w:r>
      <w:r>
        <w:rPr>
          <w:rFonts w:ascii="Times New Roman" w:hAnsi="Times New Roman"/>
          <w:b w:val="false"/>
          <w:i w:val="false"/>
          <w:color w:val="000000"/>
          <w:sz w:val="22"/>
        </w:rPr>
        <w:t>A special inspector’s commission that has been revoked will not be reinstated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Concurrent actions. </w:t>
      </w:r>
      <w:r>
        <w:rPr>
          <w:rFonts w:ascii="Times New Roman" w:hAnsi="Times New Roman"/>
          <w:b w:val="false"/>
          <w:i w:val="false"/>
          <w:color w:val="000000"/>
          <w:sz w:val="22"/>
        </w:rPr>
        <w:t>Multiple actions may proceed at the same time against any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Revoked or suspended commissions. </w:t>
      </w:r>
      <w:r>
        <w:rPr>
          <w:rFonts w:ascii="Times New Roman" w:hAnsi="Times New Roman"/>
          <w:b w:val="false"/>
          <w:i w:val="false"/>
          <w:color w:val="000000"/>
          <w:sz w:val="22"/>
        </w:rPr>
        <w:t>Within five business days of final agency action revoking or suspending a special inspector commission, the special inspector shall surrender the special inspector’s commission card to the director. The director may notify the special inspector’s employer and the organization that certified the special inspector as a CEI of a revocation or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875—71.13</w:t>
      </w:r>
      <w:r>
        <w:rPr>
          <w:rFonts w:ascii="Times New Roman" w:hAnsi="Times New Roman"/>
          <w:b/>
          <w:i w:val="false"/>
          <w:color w:val="000000"/>
          <w:sz w:val="22"/>
        </w:rPr>
        <w:t xml:space="preserve">(89A) </w:t>
      </w:r>
      <w:r>
        <w:rPr>
          <w:rFonts w:ascii="Times New Roman" w:hAnsi="Times New Roman"/>
          <w:b/>
          <w:i w:val="false"/>
          <w:color w:val="000000"/>
          <w:sz w:val="22"/>
        </w:rPr>
        <w:t xml:space="preserve">Safety tests. </w:t>
      </w:r>
      <w:r>
        <w:rPr>
          <w:rFonts w:ascii="Times New Roman" w:hAnsi="Times New Roman"/>
          <w:b w:val="false"/>
          <w:i w:val="false"/>
          <w:color w:val="000000"/>
          <w:sz w:val="22"/>
        </w:rPr>
        <w:t>Only safety test reports submitted on approved forms from elevator mechanics who are employed by authorized companies meet the requirements of this rule. The alternative test methods set forth at ASME A17.1, Rule 8.6.11.10, are not allowed as a substitute for a full-load safety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71.13(1)</w:t>
      </w:r>
      <w:r>
        <w:rPr>
          <w:rFonts w:ascii="Times New Roman" w:hAnsi="Times New Roman"/>
          <w:b w:val="false"/>
          <w:i w:val="false"/>
          <w:color w:val="000000"/>
          <w:sz w:val="22"/>
        </w:rPr>
        <w:t> </w:t>
      </w:r>
      <w:r>
        <w:rPr>
          <w:rFonts w:ascii="Times New Roman" w:hAnsi="Times New Roman"/>
          <w:b w:val="false"/>
          <w:i/>
          <w:color w:val="000000"/>
          <w:sz w:val="22"/>
        </w:rPr>
        <w:t xml:space="preserve">When safety tests will be performed.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Safety tests are performed on new and altered installations before they are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Category 1 safety tests of wind turbine tower elevators are conducted after two years of operation, and category 5 safety tests of wind turbine tower elevators are performed after ten years of operation. Safety tests shall be made on all other conveyances pursuant to the schedules and procedures set forth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maintenance control plan for wind tower lifts exempted from ASME A17.1;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CCD for conveyances covered by ASME A17.7-2007/CSA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columns pertaining to “periodic tests” in Table N-1 in the edition of ASME A17.1 currently adopted for new conveyances;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ASME A</w:t>
      </w:r>
      <w:r>
        <w:rPr>
          <w:rFonts w:ascii="Times New Roman" w:hAnsi="Times New Roman"/>
          <w:b w:val="false"/>
          <w:i w:val="false"/>
          <w:color w:val="000000"/>
          <w:sz w:val="22"/>
        </w:rPr>
        <w:t>18.1(2003)</w:t>
      </w:r>
      <w:r>
        <w:rPr>
          <w:rFonts w:ascii="Times New Roman" w:hAnsi="Times New Roman"/>
          <w:b w:val="false"/>
          <w:i w:val="false"/>
          <w:color w:val="000000"/>
          <w:sz w:val="22"/>
        </w:rPr>
        <w:t>, Part 10;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ANSI A10.4-2007, Section 26.4.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71.13(2)</w:t>
      </w:r>
      <w:r>
        <w:rPr>
          <w:rFonts w:ascii="Times New Roman" w:hAnsi="Times New Roman"/>
          <w:b w:val="false"/>
          <w:i w:val="false"/>
          <w:color w:val="000000"/>
          <w:sz w:val="22"/>
        </w:rPr>
        <w:t> </w:t>
      </w:r>
      <w:r>
        <w:rPr>
          <w:rFonts w:ascii="Times New Roman" w:hAnsi="Times New Roman"/>
          <w:b w:val="false"/>
          <w:i/>
          <w:color w:val="000000"/>
          <w:sz w:val="22"/>
        </w:rPr>
        <w:t xml:space="preserve">How safety tests will be reported. </w:t>
      </w:r>
      <w:r>
        <w:rPr>
          <w:rFonts w:ascii="Times New Roman" w:hAnsi="Times New Roman"/>
          <w:b w:val="false"/>
          <w:i w:val="false"/>
          <w:color w:val="000000"/>
          <w:sz w:val="22"/>
        </w:rPr>
        <w:t>Within 30 days after completion of a safety test, the elevator mechanic shall file with the director a report on an approved form and provide a copy of the form to the owner and to the witness,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71.13(3)</w:t>
      </w:r>
      <w:r>
        <w:rPr>
          <w:rFonts w:ascii="Times New Roman" w:hAnsi="Times New Roman"/>
          <w:b w:val="false"/>
          <w:i w:val="false"/>
          <w:color w:val="000000"/>
          <w:sz w:val="22"/>
        </w:rPr>
        <w:t> </w:t>
      </w:r>
      <w:r>
        <w:rPr>
          <w:rFonts w:ascii="Times New Roman" w:hAnsi="Times New Roman"/>
          <w:b w:val="false"/>
          <w:i/>
          <w:color w:val="000000"/>
          <w:sz w:val="22"/>
        </w:rPr>
        <w:t xml:space="preserve">How safety tests will be recorded. </w:t>
      </w:r>
      <w:r>
        <w:rPr>
          <w:rFonts w:ascii="Times New Roman" w:hAnsi="Times New Roman"/>
          <w:b w:val="false"/>
          <w:i w:val="false"/>
          <w:color w:val="000000"/>
          <w:sz w:val="22"/>
        </w:rPr>
        <w:t>The elevator mechanic shall attach a tag showing the date of the test, the elevator mechanic’s name, and the type of test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electric traction elevators, the elevator mechanic attaches the tag to the safety-releasing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hydraulic elevators, the elevator mechanic attaches the tag to the disconnecting switch or the controller.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wheelchair lifts, the elevator mechanic attaches the tag to the disconnecting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 other conveyances covered by these rules, the director witnessing the acceptance safety test will indicate the proper location of the tag. Subsequent test tags are attached in the same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875—71.14</w:t>
      </w:r>
      <w:r>
        <w:rPr>
          <w:rFonts w:ascii="Times New Roman" w:hAnsi="Times New Roman"/>
          <w:b/>
          <w:i w:val="false"/>
          <w:color w:val="000000"/>
          <w:sz w:val="22"/>
        </w:rPr>
        <w:t xml:space="preserve">(89A) </w:t>
      </w:r>
      <w:r>
        <w:rPr>
          <w:rFonts w:ascii="Times New Roman" w:hAnsi="Times New Roman"/>
          <w:b/>
          <w:i w:val="false"/>
          <w:color w:val="000000"/>
          <w:sz w:val="22"/>
        </w:rPr>
        <w:t xml:space="preserve">Authorized companies—requirements.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71.14(1)</w:t>
      </w:r>
      <w:r>
        <w:rPr>
          <w:rFonts w:ascii="Times New Roman" w:hAnsi="Times New Roman"/>
          <w:b w:val="false"/>
          <w:i w:val="false"/>
          <w:color w:val="000000"/>
          <w:sz w:val="22"/>
        </w:rPr>
        <w:t> </w:t>
      </w:r>
      <w:r>
        <w:rPr>
          <w:rFonts w:ascii="Times New Roman" w:hAnsi="Times New Roman"/>
          <w:b w:val="false"/>
          <w:i w:val="false"/>
          <w:color w:val="000000"/>
          <w:sz w:val="22"/>
        </w:rPr>
        <w:t>Each year, authorized companies will train their elevator mechanics who perform safety tests on safety test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71.14(2)</w:t>
      </w:r>
      <w:r>
        <w:rPr>
          <w:rFonts w:ascii="Times New Roman" w:hAnsi="Times New Roman"/>
          <w:b w:val="false"/>
          <w:i w:val="false"/>
          <w:color w:val="000000"/>
          <w:sz w:val="22"/>
        </w:rPr>
        <w:t> </w:t>
      </w:r>
      <w:r>
        <w:rPr>
          <w:rFonts w:ascii="Times New Roman" w:hAnsi="Times New Roman"/>
          <w:b w:val="false"/>
          <w:i w:val="false"/>
          <w:color w:val="000000"/>
          <w:sz w:val="22"/>
        </w:rPr>
        <w:t>For each conveyance owned by an authorized company, the owner will obtain the services of a CEI who is not employed by the authorized company or an inspector employed by the state to witness the safety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71.14(3)</w:t>
      </w:r>
      <w:r>
        <w:rPr>
          <w:rFonts w:ascii="Times New Roman" w:hAnsi="Times New Roman"/>
          <w:b w:val="false"/>
          <w:i w:val="false"/>
          <w:color w:val="000000"/>
          <w:sz w:val="22"/>
        </w:rPr>
        <w:t> </w:t>
      </w:r>
      <w:r>
        <w:rPr>
          <w:rFonts w:ascii="Times New Roman" w:hAnsi="Times New Roman"/>
          <w:b w:val="false"/>
          <w:i w:val="false"/>
          <w:color w:val="000000"/>
          <w:sz w:val="22"/>
        </w:rPr>
        <w:t>To become authorized to perform safety tests, a company will submit a copy of its procedures for performing safety tests. The director will review the procedures for adequacy and will request modifications to the procedures or grant or deny the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71.14(4)</w:t>
      </w:r>
      <w:r>
        <w:rPr>
          <w:rFonts w:ascii="Times New Roman" w:hAnsi="Times New Roman"/>
          <w:b w:val="false"/>
          <w:i w:val="false"/>
          <w:color w:val="000000"/>
          <w:sz w:val="22"/>
        </w:rPr>
        <w:t> </w:t>
      </w:r>
      <w:r>
        <w:rPr>
          <w:rFonts w:ascii="Times New Roman" w:hAnsi="Times New Roman"/>
          <w:b w:val="false"/>
          <w:i w:val="false"/>
          <w:color w:val="000000"/>
          <w:sz w:val="22"/>
        </w:rPr>
        <w:t>Every five years or within six months after the board adopts a new edition of ASME, whichever is earlier, authorized companies will submit revised safety test procedures for renewal of authorization. The director will review the procedures for adequacy and will request modifications to the procedures or grant or deny the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71.14(5)</w:t>
      </w:r>
      <w:r>
        <w:rPr>
          <w:rFonts w:ascii="Times New Roman" w:hAnsi="Times New Roman"/>
          <w:b w:val="false"/>
          <w:i w:val="false"/>
          <w:color w:val="000000"/>
          <w:sz w:val="22"/>
        </w:rPr>
        <w:t> </w:t>
      </w:r>
      <w:r>
        <w:rPr>
          <w:rFonts w:ascii="Times New Roman" w:hAnsi="Times New Roman"/>
          <w:b w:val="false"/>
          <w:i w:val="false"/>
          <w:color w:val="000000"/>
          <w:sz w:val="22"/>
        </w:rPr>
        <w:t>Investigations. Investigations will take place at the times and in the places the director directs. The director may investigate for any reasonable cause. The director may conduct interviews and utilize other reasonable investigatory techniques. Investigations may be conducted without prior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71.14(6)</w:t>
      </w:r>
      <w:r>
        <w:rPr>
          <w:rFonts w:ascii="Times New Roman" w:hAnsi="Times New Roman"/>
          <w:b w:val="false"/>
          <w:i w:val="false"/>
          <w:color w:val="000000"/>
          <w:sz w:val="22"/>
        </w:rPr>
        <w:t> </w:t>
      </w:r>
      <w:r>
        <w:rPr>
          <w:rFonts w:ascii="Times New Roman" w:hAnsi="Times New Roman"/>
          <w:b w:val="false"/>
          <w:i w:val="false"/>
          <w:color w:val="000000"/>
          <w:sz w:val="22"/>
        </w:rPr>
        <w:t>Suspension. If the director determines that a falsified safety test report was submitted by an elevator mechanic, the director will suspend the authorization of the elevator mechanic’s employer for six months. During the suspension, all safety tests performed by any employee of the authorized company will be witnessed by a state inspector or a CEI who is not employed by the suspended authorized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71.14(7)</w:t>
      </w:r>
      <w:r>
        <w:rPr>
          <w:rFonts w:ascii="Times New Roman" w:hAnsi="Times New Roman"/>
          <w:b w:val="false"/>
          <w:i w:val="false"/>
          <w:color w:val="000000"/>
          <w:sz w:val="22"/>
        </w:rPr>
        <w:t> </w:t>
      </w:r>
      <w:r>
        <w:rPr>
          <w:rFonts w:ascii="Times New Roman" w:hAnsi="Times New Roman"/>
          <w:b w:val="false"/>
          <w:i w:val="false"/>
          <w:color w:val="000000"/>
          <w:sz w:val="22"/>
        </w:rPr>
        <w:t>Suspension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notify an authorized company of its suspension by certified mail or by other service as permitted by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authorized company will have 20 days to file a written notice of contest with the director. If the authorized company does not file a written notice of contest in a timely manner, the suspension will automatically be effective. If the authorized company does file a written notice of contest in a timely manner, department hearing procedures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director finds, pursuant to Iowa Code section </w:t>
      </w:r>
      <w:hyperlink r:id="rId17">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that public health, safety or welfare imperatively requires emergency action, the authorization may be summarily suspended.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875—71.15</w:t>
      </w:r>
      <w:r>
        <w:rPr>
          <w:rFonts w:ascii="Times New Roman" w:hAnsi="Times New Roman"/>
          <w:b/>
          <w:i w:val="false"/>
          <w:color w:val="000000"/>
          <w:sz w:val="22"/>
        </w:rPr>
        <w:t xml:space="preserve">(89A) </w:t>
      </w:r>
      <w:r>
        <w:rPr>
          <w:rFonts w:ascii="Times New Roman" w:hAnsi="Times New Roman"/>
          <w:b/>
          <w:i w:val="false"/>
          <w:color w:val="000000"/>
          <w:sz w:val="22"/>
        </w:rPr>
        <w:t xml:space="preserve">Fees. </w:t>
      </w:r>
      <w:r>
        <w:rPr>
          <w:rFonts w:ascii="Times New Roman" w:hAnsi="Times New Roman"/>
          <w:b w:val="false"/>
          <w:i w:val="false"/>
          <w:color w:val="000000"/>
          <w:sz w:val="22"/>
        </w:rPr>
        <w:t>Except as noted in this rule, all fees are nonrefundable and due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71.15(1)</w:t>
      </w:r>
      <w:r>
        <w:rPr>
          <w:rFonts w:ascii="Times New Roman" w:hAnsi="Times New Roman"/>
          <w:b w:val="false"/>
          <w:i w:val="false"/>
          <w:color w:val="000000"/>
          <w:sz w:val="22"/>
        </w:rPr>
        <w:t> </w:t>
      </w:r>
      <w:r>
        <w:rPr>
          <w:rFonts w:ascii="Times New Roman" w:hAnsi="Times New Roman"/>
          <w:b w:val="false"/>
          <w:i/>
          <w:color w:val="000000"/>
          <w:sz w:val="22"/>
        </w:rPr>
        <w:t xml:space="preserve">Operating permits. </w:t>
      </w:r>
      <w:r>
        <w:rPr>
          <w:rFonts w:ascii="Times New Roman" w:hAnsi="Times New Roman"/>
          <w:b w:val="false"/>
          <w:i w:val="false"/>
          <w:color w:val="000000"/>
          <w:sz w:val="22"/>
        </w:rPr>
        <w:t>The annual operating permit fee is $75 per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71.15(2)</w:t>
      </w:r>
      <w:r>
        <w:rPr>
          <w:rFonts w:ascii="Times New Roman" w:hAnsi="Times New Roman"/>
          <w:b w:val="false"/>
          <w:i w:val="false"/>
          <w:color w:val="000000"/>
          <w:sz w:val="22"/>
        </w:rPr>
        <w:t> </w:t>
      </w:r>
      <w:r>
        <w:rPr>
          <w:rFonts w:ascii="Times New Roman" w:hAnsi="Times New Roman"/>
          <w:b w:val="false"/>
          <w:i/>
          <w:color w:val="000000"/>
          <w:sz w:val="22"/>
        </w:rPr>
        <w:t xml:space="preserve">Periodic inspections. </w:t>
      </w:r>
      <w:r>
        <w:rPr>
          <w:rFonts w:ascii="Times New Roman" w:hAnsi="Times New Roman"/>
          <w:b w:val="false"/>
          <w:i w:val="false"/>
          <w:color w:val="000000"/>
          <w:sz w:val="22"/>
        </w:rPr>
        <w:t>Fees shall be remitted to the department within 30 days of the date of inspection. The fees for periodic inspections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Construction elevator: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Wind tower lift: $225.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Hand-powered elevator: $90.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Television tower elevator: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Handicapped restricted use elevator: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Other hydraulic elevator: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traction elevator: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Escalator: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Dumbwaiter: $90.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Wheelchair lift: $90.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Annual: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Quarterly: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Moving walk: $150.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71.15(3)</w:t>
      </w:r>
      <w:r>
        <w:rPr>
          <w:rFonts w:ascii="Times New Roman" w:hAnsi="Times New Roman"/>
          <w:b w:val="false"/>
          <w:i w:val="false"/>
          <w:color w:val="000000"/>
          <w:sz w:val="22"/>
        </w:rPr>
        <w:t> </w:t>
      </w:r>
      <w:r>
        <w:rPr>
          <w:rFonts w:ascii="Times New Roman" w:hAnsi="Times New Roman"/>
          <w:b w:val="false"/>
          <w:i/>
          <w:color w:val="000000"/>
          <w:sz w:val="22"/>
        </w:rPr>
        <w:t xml:space="preserve">Installation permits. </w:t>
      </w:r>
      <w:r>
        <w:rPr>
          <w:rFonts w:ascii="Times New Roman" w:hAnsi="Times New Roman"/>
          <w:b w:val="false"/>
          <w:i w:val="false"/>
          <w:color w:val="000000"/>
          <w:sz w:val="22"/>
        </w:rPr>
        <w:t>The fees in this subrule cover the initial print review, installation permit, initial inspection and first-year operating permit. Each print revision submitted to the department is subject to an additional fee of $100. The fees for new installations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Wind tower lift: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Material lift elevators: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hydraulic elevators: $750.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traction elevators: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Escalator: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Dumbwaiter: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Wheelchair lift: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CPH: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Moving walk: $500.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71.15(4)</w:t>
      </w:r>
      <w:r>
        <w:rPr>
          <w:rFonts w:ascii="Times New Roman" w:hAnsi="Times New Roman"/>
          <w:b w:val="false"/>
          <w:i w:val="false"/>
          <w:color w:val="000000"/>
          <w:sz w:val="22"/>
        </w:rPr>
        <w:t> </w:t>
      </w:r>
      <w:r>
        <w:rPr>
          <w:rFonts w:ascii="Times New Roman" w:hAnsi="Times New Roman"/>
          <w:b w:val="false"/>
          <w:i/>
          <w:color w:val="000000"/>
          <w:sz w:val="22"/>
        </w:rPr>
        <w:t xml:space="preserve">Alteration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set forth below, the fee for any elevator alteration permit is $500 and covers the initial print review, alteration permit, and initial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 for each CPH extension is $150. The total fee required for all planned CPH extensions shall be submitted with the installation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fee for an alteration permit is $500 if the only alteration is the addition or replacement of an escalator skirt brush.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fee for an initial print review, elevator alteration permit, and initial inspection is $250 if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only changes covered by the elevator alteration permit application are required by ASME A17.3 (2011) as adopted in 875—Chapters </w:t>
      </w:r>
      <w:hyperlink r:id="rId18">
        <w:r>
          <w:rPr>
            <w:rStyle w:val="Hyperlink"/>
            <w:rFonts w:ascii="Times New Roman" w:hAnsi="Times New Roman"/>
            <w:b w:val="false"/>
            <w:i w:val="false"/>
            <w:color w:val="000000"/>
            <w:sz w:val="22"/>
          </w:rPr>
          <w:t>372</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373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elevator alteration permit application is submitted before or no later than 120 days after the issuance of an inspection report describing ASME A17.3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other conveyances, the fees for new installations shall apply to alterations.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71.15(5)</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permits. </w:t>
      </w:r>
      <w:r>
        <w:rPr>
          <w:rFonts w:ascii="Times New Roman" w:hAnsi="Times New Roman"/>
          <w:b w:val="false"/>
          <w:i w:val="false"/>
          <w:color w:val="000000"/>
          <w:sz w:val="22"/>
        </w:rPr>
        <w:t>The construction permit fee is $200 per conveyance. This fee includes the fee for initial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71.15(6)</w:t>
      </w:r>
      <w:r>
        <w:rPr>
          <w:rFonts w:ascii="Times New Roman" w:hAnsi="Times New Roman"/>
          <w:b w:val="false"/>
          <w:i w:val="false"/>
          <w:color w:val="000000"/>
          <w:sz w:val="22"/>
        </w:rPr>
        <w:t> </w:t>
      </w:r>
      <w:r>
        <w:rPr>
          <w:rFonts w:ascii="Times New Roman" w:hAnsi="Times New Roman"/>
          <w:b w:val="false"/>
          <w:i/>
          <w:color w:val="000000"/>
          <w:sz w:val="22"/>
        </w:rPr>
        <w:t xml:space="preserve">Controller upgrade permits. </w:t>
      </w:r>
      <w:r>
        <w:rPr>
          <w:rFonts w:ascii="Times New Roman" w:hAnsi="Times New Roman"/>
          <w:b w:val="false"/>
          <w:i w:val="false"/>
          <w:color w:val="000000"/>
          <w:sz w:val="22"/>
        </w:rPr>
        <w:t>The controller upgrade permit fee is $250. This fee includes one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71.15(7)</w:t>
      </w:r>
      <w:r>
        <w:rPr>
          <w:rFonts w:ascii="Times New Roman" w:hAnsi="Times New Roman"/>
          <w:b w:val="false"/>
          <w:i w:val="false"/>
          <w:color w:val="000000"/>
          <w:sz w:val="22"/>
        </w:rPr>
        <w:t> </w:t>
      </w:r>
      <w:r>
        <w:rPr>
          <w:rFonts w:ascii="Times New Roman" w:hAnsi="Times New Roman"/>
          <w:b w:val="false"/>
          <w:i/>
          <w:color w:val="000000"/>
          <w:sz w:val="22"/>
        </w:rPr>
        <w:t xml:space="preserve">Consultative inspections </w:t>
      </w:r>
      <w:r>
        <w:rPr>
          <w:rFonts w:ascii="Times New Roman" w:hAnsi="Times New Roman"/>
          <w:b w:val="false"/>
          <w:i w:val="false"/>
          <w:color w:val="000000"/>
          <w:sz w:val="22"/>
        </w:rPr>
        <w:t>Consultative inspections may be performed at the discretion of the director for $125 per hour, including travel time, with a minimum charge of $250.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71.15(8)</w:t>
      </w:r>
      <w:r>
        <w:rPr>
          <w:rFonts w:ascii="Times New Roman" w:hAnsi="Times New Roman"/>
          <w:b w:val="false"/>
          <w:i w:val="false"/>
          <w:color w:val="000000"/>
          <w:sz w:val="22"/>
        </w:rPr>
        <w:t> </w:t>
      </w:r>
      <w:r>
        <w:rPr>
          <w:rFonts w:ascii="Times New Roman" w:hAnsi="Times New Roman"/>
          <w:b w:val="false"/>
          <w:i/>
          <w:color w:val="000000"/>
          <w:sz w:val="22"/>
        </w:rPr>
        <w:t xml:space="preserve">Special inspector commission. </w:t>
      </w:r>
      <w:r>
        <w:rPr>
          <w:rFonts w:ascii="Times New Roman" w:hAnsi="Times New Roman"/>
          <w:b w:val="false"/>
          <w:i w:val="false"/>
          <w:color w:val="000000"/>
          <w:sz w:val="22"/>
        </w:rPr>
        <w:t>The special inspector commission fee is $60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71.15(9)</w:t>
      </w:r>
      <w:r>
        <w:rPr>
          <w:rFonts w:ascii="Times New Roman" w:hAnsi="Times New Roman"/>
          <w:b w:val="false"/>
          <w:i w:val="false"/>
          <w:color w:val="000000"/>
          <w:sz w:val="22"/>
        </w:rPr>
        <w:t> </w:t>
      </w:r>
      <w:r>
        <w:rPr>
          <w:rFonts w:ascii="Times New Roman" w:hAnsi="Times New Roman"/>
          <w:b w:val="false"/>
          <w:i/>
          <w:color w:val="000000"/>
          <w:sz w:val="22"/>
        </w:rPr>
        <w:t xml:space="preserve">Witness of safety tests. </w:t>
      </w:r>
      <w:r>
        <w:rPr>
          <w:rFonts w:ascii="Times New Roman" w:hAnsi="Times New Roman"/>
          <w:b w:val="false"/>
          <w:i w:val="false"/>
          <w:color w:val="000000"/>
          <w:sz w:val="22"/>
        </w:rPr>
        <w:t>The fee for department employees to witness safety tests is $125 per hour, including travel time, with a minimum charge of $250.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71.15(10)</w:t>
      </w:r>
      <w:r>
        <w:rPr>
          <w:rFonts w:ascii="Times New Roman" w:hAnsi="Times New Roman"/>
          <w:b w:val="false"/>
          <w:i w:val="false"/>
          <w:color w:val="000000"/>
          <w:sz w:val="22"/>
        </w:rPr>
        <w:t> </w:t>
      </w:r>
      <w:r>
        <w:rPr>
          <w:rFonts w:ascii="Times New Roman" w:hAnsi="Times New Roman"/>
          <w:b w:val="false"/>
          <w:i/>
          <w:color w:val="000000"/>
          <w:sz w:val="22"/>
        </w:rPr>
        <w:t xml:space="preserve">Permit extensions. </w:t>
      </w:r>
      <w:r>
        <w:rPr>
          <w:rFonts w:ascii="Times New Roman" w:hAnsi="Times New Roman"/>
          <w:b w:val="false"/>
          <w:i w:val="false"/>
          <w:color w:val="000000"/>
          <w:sz w:val="22"/>
        </w:rPr>
        <w:t>The fee to extend an installation permit, alteration permit, or construction permit is $100.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71.15(11)</w:t>
      </w:r>
      <w:r>
        <w:rPr>
          <w:rFonts w:ascii="Times New Roman" w:hAnsi="Times New Roman"/>
          <w:b w:val="false"/>
          <w:i w:val="false"/>
          <w:color w:val="000000"/>
          <w:sz w:val="22"/>
        </w:rPr>
        <w:t> </w:t>
      </w:r>
      <w:r>
        <w:rPr>
          <w:rFonts w:ascii="Times New Roman" w:hAnsi="Times New Roman"/>
          <w:b w:val="false"/>
          <w:i/>
          <w:color w:val="000000"/>
          <w:sz w:val="22"/>
        </w:rPr>
        <w:t xml:space="preserve">Inspections outside of normal business hours. </w:t>
      </w:r>
      <w:r>
        <w:rPr>
          <w:rFonts w:ascii="Times New Roman" w:hAnsi="Times New Roman"/>
          <w:b w:val="false"/>
          <w:i w:val="false"/>
          <w:color w:val="000000"/>
          <w:sz w:val="22"/>
        </w:rPr>
        <w:t>Inspections outside the normal business hours may be performed at the discretion of the director. If the owner or contractor requests an inspection outside of normal business hours and the director agrees to the schedule, an additional fee will be charged. The additional fee will be calculated at a rate of $200 per hour, including travel time, with a minimum charge of $400.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71.15(12)</w:t>
      </w:r>
      <w:r>
        <w:rPr>
          <w:rFonts w:ascii="Times New Roman" w:hAnsi="Times New Roman"/>
          <w:b w:val="false"/>
          <w:i w:val="false"/>
          <w:color w:val="000000"/>
          <w:sz w:val="22"/>
        </w:rPr>
        <w:t> </w:t>
      </w:r>
      <w:r>
        <w:rPr>
          <w:rFonts w:ascii="Times New Roman" w:hAnsi="Times New Roman"/>
          <w:b w:val="false"/>
          <w:i/>
          <w:color w:val="000000"/>
          <w:sz w:val="22"/>
        </w:rPr>
        <w:t xml:space="preserve">Reinspections. </w:t>
      </w:r>
      <w:r>
        <w:rPr>
          <w:rFonts w:ascii="Times New Roman" w:hAnsi="Times New Roman"/>
          <w:b w:val="false"/>
          <w:i w:val="false"/>
          <w:color w:val="000000"/>
          <w:sz w:val="22"/>
        </w:rPr>
        <w:t>The fees for reinspections are $400 for television tower elevators and CPHs, $200 for wind tower lifts, and $300 for all other conveyances.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71.15(13)</w:t>
      </w:r>
      <w:r>
        <w:rPr>
          <w:rFonts w:ascii="Times New Roman" w:hAnsi="Times New Roman"/>
          <w:b w:val="false"/>
          <w:i w:val="false"/>
          <w:color w:val="000000"/>
          <w:sz w:val="22"/>
        </w:rPr>
        <w:t> </w:t>
      </w:r>
      <w:r>
        <w:rPr>
          <w:rFonts w:ascii="Times New Roman" w:hAnsi="Times New Roman"/>
          <w:b w:val="false"/>
          <w:i/>
          <w:color w:val="000000"/>
          <w:sz w:val="22"/>
        </w:rPr>
        <w:t xml:space="preserve">Inspection for temporary removal from service. </w:t>
      </w:r>
      <w:r>
        <w:rPr>
          <w:rFonts w:ascii="Times New Roman" w:hAnsi="Times New Roman"/>
          <w:b w:val="false"/>
          <w:i w:val="false"/>
          <w:color w:val="000000"/>
          <w:sz w:val="22"/>
        </w:rPr>
        <w:t>The inspection fee for temporary removal from service is $125 per hour, including travel time, with a minimum charge of $250.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71.15(14)</w:t>
      </w:r>
      <w:r>
        <w:rPr>
          <w:rFonts w:ascii="Times New Roman" w:hAnsi="Times New Roman"/>
          <w:b w:val="false"/>
          <w:i w:val="false"/>
          <w:color w:val="000000"/>
          <w:sz w:val="22"/>
        </w:rPr>
        <w:t> </w:t>
      </w:r>
      <w:r>
        <w:rPr>
          <w:rFonts w:ascii="Times New Roman" w:hAnsi="Times New Roman"/>
          <w:b w:val="false"/>
          <w:i/>
          <w:color w:val="000000"/>
          <w:sz w:val="22"/>
        </w:rPr>
        <w:t xml:space="preserve">Fee waiver.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state inspector combines in one visit two different types of inspection on a single conveyance, the director may waive the lesser of the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an alteration permit will be waived by the director if the only alterations covered by the permit application are required by 875—Chapter </w:t>
      </w:r>
      <w:hyperlink r:id="rId20">
        <w:r>
          <w:rPr>
            <w:rStyle w:val="Hyperlink"/>
            <w:rFonts w:ascii="Times New Roman" w:hAnsi="Times New Roman"/>
            <w:b w:val="false"/>
            <w:i w:val="false"/>
            <w:color w:val="000000"/>
            <w:sz w:val="22"/>
          </w:rPr>
          <w:t>372</w:t>
        </w:r>
      </w:hyperlink>
      <w:r>
        <w:rPr>
          <w:rFonts w:ascii="Times New Roman" w:hAnsi="Times New Roman"/>
          <w:b w:val="false"/>
          <w:i w:val="false"/>
          <w:color w:val="000000"/>
          <w:sz w:val="22"/>
        </w:rPr>
        <w:t xml:space="preserve"> or </w:t>
      </w:r>
      <w:r>
        <w:rPr>
          <w:rFonts w:ascii="Times New Roman" w:hAnsi="Times New Roman"/>
          <w:b w:val="false"/>
          <w:i w:val="false"/>
          <w:color w:val="000000"/>
          <w:sz w:val="22"/>
        </w:rPr>
        <w:t>373</w:t>
      </w:r>
      <w:r>
        <w:rPr>
          <w:rFonts w:ascii="Times New Roman" w:hAnsi="Times New Roman"/>
          <w:b w:val="false"/>
          <w:i w:val="false"/>
          <w:color w:val="000000"/>
          <w:sz w:val="22"/>
        </w:rPr>
        <w:t>. The fee waiver set forth in this paragraph does not eliminate the requirement to pay for an acceptance inspection or for an operating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875—71.16</w:t>
      </w:r>
      <w:r>
        <w:rPr>
          <w:rFonts w:ascii="Times New Roman" w:hAnsi="Times New Roman"/>
          <w:b/>
          <w:i w:val="false"/>
          <w:color w:val="000000"/>
          <w:sz w:val="22"/>
        </w:rPr>
        <w:t xml:space="preserve">(89A) </w:t>
      </w:r>
      <w:r>
        <w:rPr>
          <w:rFonts w:ascii="Times New Roman" w:hAnsi="Times New Roman"/>
          <w:b/>
          <w:i w:val="false"/>
          <w:color w:val="000000"/>
          <w:sz w:val="22"/>
        </w:rPr>
        <w:t xml:space="preserve">Publications available for review. </w:t>
      </w:r>
      <w:r>
        <w:rPr>
          <w:rFonts w:ascii="Times New Roman" w:hAnsi="Times New Roman"/>
          <w:b w:val="false"/>
          <w:i w:val="false"/>
          <w:color w:val="000000"/>
          <w:sz w:val="22"/>
        </w:rPr>
        <w:t>Standards, codes, and publications adopted by reference in these rules are available for review in the department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875—71.17</w:t>
      </w:r>
      <w:r>
        <w:rPr>
          <w:rFonts w:ascii="Times New Roman" w:hAnsi="Times New Roman"/>
          <w:b/>
          <w:i w:val="false"/>
          <w:color w:val="000000"/>
          <w:sz w:val="22"/>
        </w:rPr>
        <w:t xml:space="preserve">(89A) </w:t>
      </w:r>
      <w:r>
        <w:rPr>
          <w:rFonts w:ascii="Times New Roman" w:hAnsi="Times New Roman"/>
          <w:b/>
          <w:i w:val="false"/>
          <w:color w:val="000000"/>
          <w:sz w:val="22"/>
        </w:rPr>
        <w:t xml:space="preserve">Accidents and injuries—requirements.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71.17(1)</w:t>
      </w:r>
      <w:r>
        <w:rPr>
          <w:rFonts w:ascii="Times New Roman" w:hAnsi="Times New Roman"/>
          <w:b w:val="false"/>
          <w:i w:val="false"/>
          <w:color w:val="000000"/>
          <w:sz w:val="22"/>
        </w:rPr>
        <w:t> </w:t>
      </w:r>
      <w:r>
        <w:rPr>
          <w:rFonts w:ascii="Times New Roman" w:hAnsi="Times New Roman"/>
          <w:b w:val="false"/>
          <w:i w:val="false"/>
          <w:color w:val="000000"/>
          <w:sz w:val="22"/>
        </w:rPr>
        <w:t>This rule applies to a conveyance in the event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injury accident that requires the service of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personal injury accident that causes disability exceeding one day;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Damage that will require more than one hour of mechanic’s time (excluding travel) to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will promptly notify the director if one of the events listed in subrule </w:t>
      </w:r>
      <w:r>
        <w:rPr>
          <w:rFonts w:ascii="Times New Roman" w:hAnsi="Times New Roman"/>
          <w:b w:val="false"/>
          <w:i w:val="false"/>
          <w:color w:val="000000"/>
          <w:sz w:val="22"/>
        </w:rPr>
        <w:t>71.19(1)</w:t>
      </w:r>
      <w:r>
        <w:rPr>
          <w:rFonts w:ascii="Times New Roman" w:hAnsi="Times New Roman"/>
          <w:b w:val="false"/>
          <w:i w:val="false"/>
          <w:color w:val="000000"/>
          <w:sz w:val="22"/>
        </w:rPr>
        <w:t xml:space="preserve"> occurs. Notification will be in writing and will include the state identification number, owner, and description of accident.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71.17(3)</w:t>
      </w:r>
      <w:r>
        <w:rPr>
          <w:rFonts w:ascii="Times New Roman" w:hAnsi="Times New Roman"/>
          <w:b w:val="false"/>
          <w:i w:val="false"/>
          <w:color w:val="000000"/>
          <w:sz w:val="22"/>
        </w:rPr>
        <w:t> </w:t>
      </w:r>
      <w:r>
        <w:rPr>
          <w:rFonts w:ascii="Times New Roman" w:hAnsi="Times New Roman"/>
          <w:b w:val="false"/>
          <w:i w:val="false"/>
          <w:color w:val="000000"/>
          <w:sz w:val="22"/>
        </w:rPr>
        <w:t>The removal of any part of the damaged conveyance or operating mechanism from the premises is forbidden until permission is granted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71.17(4)</w:t>
      </w:r>
      <w:r>
        <w:rPr>
          <w:rFonts w:ascii="Times New Roman" w:hAnsi="Times New Roman"/>
          <w:b w:val="false"/>
          <w:i w:val="false"/>
          <w:color w:val="000000"/>
          <w:sz w:val="22"/>
        </w:rPr>
        <w:t> </w:t>
      </w:r>
      <w:r>
        <w:rPr>
          <w:rFonts w:ascii="Times New Roman" w:hAnsi="Times New Roman"/>
          <w:b w:val="false"/>
          <w:i w:val="false"/>
          <w:color w:val="000000"/>
          <w:sz w:val="22"/>
        </w:rPr>
        <w:t>When an accident or injury involves the failure or destruction of any part of the conveyance or its operating mechanism, the use of the conveyance is forbidden until it has been inspected and approved by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875—71.18</w:t>
      </w:r>
      <w:r>
        <w:rPr>
          <w:rFonts w:ascii="Times New Roman" w:hAnsi="Times New Roman"/>
          <w:b/>
          <w:i w:val="false"/>
          <w:color w:val="000000"/>
          <w:sz w:val="22"/>
        </w:rPr>
        <w:t xml:space="preserve">(89A) </w:t>
      </w:r>
      <w:r>
        <w:rPr>
          <w:rFonts w:ascii="Times New Roman" w:hAnsi="Times New Roman"/>
          <w:b/>
          <w:i w:val="false"/>
          <w:color w:val="000000"/>
          <w:sz w:val="22"/>
        </w:rPr>
        <w:t xml:space="preserve">Temporary removal from service. </w:t>
      </w:r>
      <w:r>
        <w:rPr>
          <w:rFonts w:ascii="Times New Roman" w:hAnsi="Times New Roman"/>
          <w:b w:val="false"/>
          <w:i w:val="false"/>
          <w:color w:val="000000"/>
          <w:sz w:val="22"/>
        </w:rPr>
        <w:t>The requirements for an annual inspection, annual inspection fee, safety test, operating permit, and operating permit fee will be temporarily suspended for up to three years for an elevator in an unoccupied building if the requirements of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71.18(1)</w:t>
      </w:r>
      <w:r>
        <w:rPr>
          <w:rFonts w:ascii="Times New Roman" w:hAnsi="Times New Roman"/>
          <w:b w:val="false"/>
          <w:i w:val="false"/>
          <w:color w:val="000000"/>
          <w:sz w:val="22"/>
        </w:rPr>
        <w:t> </w:t>
      </w:r>
      <w:r>
        <w:rPr>
          <w:rFonts w:ascii="Times New Roman" w:hAnsi="Times New Roman"/>
          <w:b w:val="false"/>
          <w:i w:val="false"/>
          <w:color w:val="000000"/>
          <w:sz w:val="22"/>
        </w:rPr>
        <w:t>All elevator doors in unoccupied buildings shall be closed and locked. Hydraulic elevators are parked at the bottom of the hoistway. Traction elevators are parked at the top of the hoistway.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71.18(2)</w:t>
      </w:r>
      <w:r>
        <w:rPr>
          <w:rFonts w:ascii="Times New Roman" w:hAnsi="Times New Roman"/>
          <w:b w:val="false"/>
          <w:i w:val="false"/>
          <w:color w:val="000000"/>
          <w:sz w:val="22"/>
        </w:rPr>
        <w:t> </w:t>
      </w:r>
      <w:r>
        <w:rPr>
          <w:rFonts w:ascii="Times New Roman" w:hAnsi="Times New Roman"/>
          <w:b w:val="false"/>
          <w:i w:val="false"/>
          <w:color w:val="000000"/>
          <w:sz w:val="22"/>
        </w:rPr>
        <w:t>Upon request by the owner of an elevator in an unoccupied building, the director will send an inspector who is a state employee to confirm that the building is unoccupied and that the car and doors of the elevator have been properly secured. If the conditions set forth in subrule “1” are met, the inspector shall apply to the elevator a seal and a red tag marked with the words “Do Not Operate.”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71.18(3)</w:t>
      </w:r>
      <w:r>
        <w:rPr>
          <w:rFonts w:ascii="Times New Roman" w:hAnsi="Times New Roman"/>
          <w:b w:val="false"/>
          <w:i w:val="false"/>
          <w:color w:val="000000"/>
          <w:sz w:val="22"/>
        </w:rPr>
        <w:t> </w:t>
      </w:r>
      <w:r>
        <w:rPr>
          <w:rFonts w:ascii="Times New Roman" w:hAnsi="Times New Roman"/>
          <w:b w:val="false"/>
          <w:i w:val="false"/>
          <w:color w:val="000000"/>
          <w:sz w:val="22"/>
        </w:rPr>
        <w:t>One year after the inspection, the owner must file with the director written confirmation that the status of the elevator and building have not changed, and the owner must file again two years after the inspection. Failure to comply with this requirement will result in termination of the temporary suspension of the requirements for safety tests, inspections, and operating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71.18(4)</w:t>
      </w:r>
      <w:r>
        <w:rPr>
          <w:rFonts w:ascii="Times New Roman" w:hAnsi="Times New Roman"/>
          <w:b w:val="false"/>
          <w:i w:val="false"/>
          <w:color w:val="000000"/>
          <w:sz w:val="22"/>
        </w:rPr>
        <w:t> </w:t>
      </w:r>
      <w:r>
        <w:rPr>
          <w:rFonts w:ascii="Times New Roman" w:hAnsi="Times New Roman"/>
          <w:b w:val="false"/>
          <w:i w:val="false"/>
          <w:color w:val="000000"/>
          <w:sz w:val="22"/>
        </w:rPr>
        <w:t>Prior to returning the elevator to service, and upon request of the owner, the director may allow the elevator to be operated for 30 days for the sole purpose of performing safety tests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71.18(5)</w:t>
      </w:r>
      <w:r>
        <w:rPr>
          <w:rFonts w:ascii="Times New Roman" w:hAnsi="Times New Roman"/>
          <w:b w:val="false"/>
          <w:i w:val="false"/>
          <w:color w:val="000000"/>
          <w:sz w:val="22"/>
        </w:rPr>
        <w:t> </w:t>
      </w:r>
      <w:r>
        <w:rPr>
          <w:rFonts w:ascii="Times New Roman" w:hAnsi="Times New Roman"/>
          <w:b w:val="false"/>
          <w:i w:val="false"/>
          <w:color w:val="000000"/>
          <w:sz w:val="22"/>
        </w:rPr>
        <w:t>The owner must notify the director at least two weeks before placing an elevator back into service and must arrange for an inspector who is a state employee to witness a safety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71.18(6)</w:t>
      </w:r>
      <w:r>
        <w:rPr>
          <w:rFonts w:ascii="Times New Roman" w:hAnsi="Times New Roman"/>
          <w:b w:val="false"/>
          <w:i w:val="false"/>
          <w:color w:val="000000"/>
          <w:sz w:val="22"/>
        </w:rPr>
        <w:t> </w:t>
      </w:r>
      <w:r>
        <w:rPr>
          <w:rFonts w:ascii="Times New Roman" w:hAnsi="Times New Roman"/>
          <w:b w:val="false"/>
          <w:i w:val="false"/>
          <w:color w:val="000000"/>
          <w:sz w:val="22"/>
        </w:rPr>
        <w:t>If at the end of three years the building is still unoccupied, suspension of the requirements for safety tests, inspections, and operating permits end without possibility of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875—71.19</w:t>
      </w:r>
      <w:r>
        <w:rPr>
          <w:rFonts w:ascii="Times New Roman" w:hAnsi="Times New Roman"/>
          <w:b/>
          <w:i w:val="false"/>
          <w:color w:val="000000"/>
          <w:sz w:val="22"/>
        </w:rPr>
        <w:t xml:space="preserve">(89A) </w:t>
      </w:r>
      <w:r>
        <w:rPr>
          <w:rFonts w:ascii="Times New Roman" w:hAnsi="Times New Roman"/>
          <w:b/>
          <w:i w:val="false"/>
          <w:color w:val="000000"/>
          <w:sz w:val="22"/>
        </w:rPr>
        <w:t xml:space="preserve">Other regulations affecting elevators. </w:t>
      </w:r>
      <w:r>
        <w:rPr>
          <w:rFonts w:ascii="Times New Roman" w:hAnsi="Times New Roman"/>
          <w:b w:val="false"/>
          <w:i w:val="false"/>
          <w:color w:val="000000"/>
          <w:sz w:val="22"/>
        </w:rPr>
        <w:t xml:space="preserve">No rule in </w:t>
      </w:r>
      <w:hyperlink r:id="rId21">
        <w:r>
          <w:rPr>
            <w:rStyle w:val="Hyperlink"/>
            <w:rFonts w:ascii="Times New Roman" w:hAnsi="Times New Roman"/>
            <w:b w:val="false"/>
            <w:i w:val="false"/>
            <w:color w:val="000000"/>
            <w:sz w:val="22"/>
          </w:rPr>
          <w:t>875—Chapters 71 through 73</w:t>
        </w:r>
      </w:hyperlink>
      <w:r>
        <w:rPr>
          <w:rFonts w:ascii="Times New Roman" w:hAnsi="Times New Roman"/>
          <w:b w:val="false"/>
          <w:i w:val="false"/>
          <w:color w:val="000000"/>
          <w:sz w:val="22"/>
        </w:rPr>
        <w:t xml:space="preserve"> shall be interpreted as creating a waiver from any otherwise applicable regulation or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12/15/75, Notice 10/6/75—published 12/29/75, effective 12/15/75]</w:t>
      </w:r>
    </w:p>
    <w:p>
      <w:pPr>
        <w:spacing w:before="0" w:after="0"/>
        <w:ind w:left="120"/>
        <w:jc w:val="center"/>
      </w:pPr>
      <w:r>
        <w:rPr>
          <w:rFonts w:ascii="Times New Roman" w:hAnsi="Times New Roman"/>
          <w:b w:val="false"/>
          <w:i w:val="false"/>
          <w:color w:val="000000"/>
          <w:sz w:val="21"/>
        </w:rPr>
        <w:t>[Filed 7/28/82, Notice 5/26/82—published 8/18/82, effective 9/30/82]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12/4/92 after Notice 9/30/92—published 12/23/92, effective 12/23/92]</w:t>
      </w:r>
    </w:p>
    <w:p>
      <w:pPr>
        <w:spacing w:before="0" w:after="0"/>
        <w:ind w:left="120"/>
        <w:jc w:val="center"/>
      </w:pPr>
      <w:r>
        <w:rPr>
          <w:rFonts w:ascii="Times New Roman" w:hAnsi="Times New Roman"/>
          <w:b w:val="false"/>
          <w:i w:val="false"/>
          <w:color w:val="000000"/>
          <w:sz w:val="21"/>
        </w:rPr>
        <w:t>[Filed 2/15/01, Notice 10/18/00—published 3/7/01, effective 4/11/01]</w:t>
      </w:r>
    </w:p>
    <w:p>
      <w:pPr>
        <w:spacing w:before="0" w:after="0"/>
        <w:ind w:left="120"/>
        <w:jc w:val="center"/>
      </w:pPr>
      <w:r>
        <w:rPr>
          <w:rFonts w:ascii="Times New Roman" w:hAnsi="Times New Roman"/>
          <w:b w:val="false"/>
          <w:i w:val="false"/>
          <w:color w:val="000000"/>
          <w:sz w:val="21"/>
        </w:rPr>
        <w:t>[Filed 11/20/01, Notice 6/13/01—published 12/12/01, effective 1/16/02]</w:t>
      </w:r>
    </w:p>
    <w:p>
      <w:pPr>
        <w:spacing w:before="0" w:after="0"/>
        <w:ind w:left="120"/>
        <w:jc w:val="center"/>
      </w:pPr>
      <w:r>
        <w:rPr>
          <w:rFonts w:ascii="Times New Roman" w:hAnsi="Times New Roman"/>
          <w:b w:val="false"/>
          <w:i w:val="false"/>
          <w:color w:val="000000"/>
          <w:sz w:val="21"/>
        </w:rPr>
        <w:t>[Filed 11/7/03, Notice 10/1/03—published 11/26/03, effective 1/1/04]</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7/3/07, Notice 4/25/07—published 8/1/07, effective 9/5/07]</w:t>
      </w:r>
    </w:p>
    <w:p>
      <w:pPr>
        <w:spacing w:before="0" w:after="0"/>
        <w:ind w:left="120"/>
        <w:jc w:val="center"/>
      </w:pPr>
      <w:r>
        <w:rPr>
          <w:rFonts w:ascii="Times New Roman" w:hAnsi="Times New Roman"/>
          <w:b w:val="false"/>
          <w:i w:val="false"/>
          <w:color w:val="000000"/>
          <w:sz w:val="21"/>
        </w:rPr>
        <w:t>[Filed 1/25/08, Notice 11/7/07—published 2/13/08, effective 3/19/08]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5/28/08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5/28/08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7840B</w:t>
      </w:r>
      <w:r>
        <w:rPr>
          <w:rFonts w:ascii="Times New Roman" w:hAnsi="Times New Roman"/>
          <w:b w:val="false"/>
          <w:i w:val="false"/>
          <w:color w:val="000000"/>
          <w:sz w:val="21"/>
        </w:rPr>
        <w:t xml:space="preserve"> (Notice ARC 7696B, IAB 4/8/09)</w:t>
      </w:r>
      <w:r>
        <w:rPr>
          <w:rFonts w:ascii="Times New Roman" w:hAnsi="Times New Roman"/>
          <w:b w:val="false"/>
          <w:i w:val="false"/>
          <w:color w:val="000000"/>
          <w:sz w:val="21"/>
        </w:rPr>
        <w:t>, IAB 6/17/09, effective 7/22/09]</w:t>
      </w:r>
      <w:r>
        <w:br/>
      </w:r>
      <w:r>
        <w:rPr>
          <w:rFonts w:ascii="Times New Roman" w:hAnsi="Times New Roman"/>
          <w:b w:val="false"/>
          <w:i w:val="false"/>
          <w:color w:val="000000"/>
          <w:sz w:val="21"/>
        </w:rPr>
        <w:t>[Filed ARC 7841B</w:t>
      </w:r>
      <w:r>
        <w:rPr>
          <w:rFonts w:ascii="Times New Roman" w:hAnsi="Times New Roman"/>
          <w:b w:val="false"/>
          <w:i w:val="false"/>
          <w:color w:val="000000"/>
          <w:sz w:val="21"/>
        </w:rPr>
        <w:t xml:space="preserve"> (Notice ARC 7697B, IAB 4/8/09)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ARC 9221B</w:t>
      </w:r>
      <w:r>
        <w:rPr>
          <w:rFonts w:ascii="Times New Roman" w:hAnsi="Times New Roman"/>
          <w:b w:val="false"/>
          <w:i w:val="false"/>
          <w:color w:val="000000"/>
          <w:sz w:val="21"/>
        </w:rPr>
        <w:t xml:space="preserve"> (Notice ARC 8996B, IAB 8/11/10)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0168C</w:t>
      </w:r>
      <w:r>
        <w:rPr>
          <w:rFonts w:ascii="Times New Roman" w:hAnsi="Times New Roman"/>
          <w:b w:val="false"/>
          <w:i w:val="false"/>
          <w:color w:val="000000"/>
          <w:sz w:val="21"/>
        </w:rPr>
        <w:t xml:space="preserve"> (Notice ARC 0011C, IAB 2/22/12)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0318C</w:t>
      </w:r>
      <w:r>
        <w:rPr>
          <w:rFonts w:ascii="Times New Roman" w:hAnsi="Times New Roman"/>
          <w:b w:val="false"/>
          <w:i w:val="false"/>
          <w:color w:val="000000"/>
          <w:sz w:val="21"/>
        </w:rPr>
        <w:t xml:space="preserve"> (Notice ARC 0171C, IAB 6/13/12)</w:t>
      </w:r>
      <w:r>
        <w:rPr>
          <w:rFonts w:ascii="Times New Roman" w:hAnsi="Times New Roman"/>
          <w:b w:val="false"/>
          <w:i w:val="false"/>
          <w:color w:val="000000"/>
          <w:sz w:val="21"/>
        </w:rPr>
        <w:t>, IAB 9/5/12, effective 10/10/12]</w:t>
      </w:r>
    </w:p>
    <w:p>
      <w:pPr>
        <w:spacing w:before="0" w:after="0"/>
        <w:ind w:left="120"/>
        <w:jc w:val="center"/>
      </w:pPr>
      <w:r>
        <w:rPr>
          <w:rFonts w:ascii="Times New Roman" w:hAnsi="Times New Roman"/>
          <w:b w:val="false"/>
          <w:i w:val="false"/>
          <w:color w:val="000000"/>
          <w:sz w:val="21"/>
        </w:rPr>
        <w:t>[Filed ARC 0574C</w:t>
      </w:r>
      <w:r>
        <w:rPr>
          <w:rFonts w:ascii="Times New Roman" w:hAnsi="Times New Roman"/>
          <w:b w:val="false"/>
          <w:i w:val="false"/>
          <w:color w:val="000000"/>
          <w:sz w:val="21"/>
        </w:rPr>
        <w:t xml:space="preserve"> (Notice ARC 0411C, IAB 10/31/12)</w:t>
      </w:r>
      <w:r>
        <w:rPr>
          <w:rFonts w:ascii="Times New Roman" w:hAnsi="Times New Roman"/>
          <w:b w:val="false"/>
          <w:i w:val="false"/>
          <w:color w:val="000000"/>
          <w:sz w:val="21"/>
        </w:rPr>
        <w:t>, IAB 2/6/13, effective 3/13/13]</w:t>
      </w:r>
    </w:p>
    <w:p>
      <w:pPr>
        <w:spacing w:before="0" w:after="0"/>
        <w:ind w:left="120"/>
        <w:jc w:val="center"/>
      </w:pPr>
      <w:r>
        <w:rPr>
          <w:rFonts w:ascii="Times New Roman" w:hAnsi="Times New Roman"/>
          <w:b w:val="false"/>
          <w:i w:val="false"/>
          <w:color w:val="000000"/>
          <w:sz w:val="21"/>
        </w:rPr>
        <w:t>[Filed ARC 0685C</w:t>
      </w:r>
      <w:r>
        <w:rPr>
          <w:rFonts w:ascii="Times New Roman" w:hAnsi="Times New Roman"/>
          <w:b w:val="false"/>
          <w:i w:val="false"/>
          <w:color w:val="000000"/>
          <w:sz w:val="21"/>
        </w:rPr>
        <w:t xml:space="preserve"> (Notice ARC 0597C, IAB 2/6/13)</w:t>
      </w:r>
      <w:r>
        <w:rPr>
          <w:rFonts w:ascii="Times New Roman" w:hAnsi="Times New Roman"/>
          <w:b w:val="false"/>
          <w:i w:val="false"/>
          <w:color w:val="000000"/>
          <w:sz w:val="21"/>
        </w:rPr>
        <w:t>, IAB 4/17/13, effective 5/22/13]</w:t>
      </w:r>
    </w:p>
    <w:p>
      <w:pPr>
        <w:spacing w:before="0" w:after="0"/>
        <w:ind w:left="120"/>
        <w:jc w:val="center"/>
      </w:pPr>
      <w:r>
        <w:rPr>
          <w:rFonts w:ascii="Times New Roman" w:hAnsi="Times New Roman"/>
          <w:b w:val="false"/>
          <w:i w:val="false"/>
          <w:color w:val="000000"/>
          <w:sz w:val="21"/>
        </w:rPr>
        <w:t>[Filed ARC 1159C</w:t>
      </w:r>
      <w:r>
        <w:rPr>
          <w:rFonts w:ascii="Times New Roman" w:hAnsi="Times New Roman"/>
          <w:b w:val="false"/>
          <w:i w:val="false"/>
          <w:color w:val="000000"/>
          <w:sz w:val="21"/>
        </w:rPr>
        <w:t xml:space="preserve"> (Notice ARC 0951C, IAB 8/21/13)</w:t>
      </w:r>
      <w:r>
        <w:rPr>
          <w:rFonts w:ascii="Times New Roman" w:hAnsi="Times New Roman"/>
          <w:b w:val="false"/>
          <w:i w:val="false"/>
          <w:color w:val="000000"/>
          <w:sz w:val="21"/>
        </w:rPr>
        <w:t>, IAB 10/30/13, effective 12/4/13]</w:t>
      </w:r>
      <w:r>
        <w:br/>
      </w:r>
      <w:r>
        <w:rPr>
          <w:rFonts w:ascii="Times New Roman" w:hAnsi="Times New Roman"/>
          <w:b w:val="false"/>
          <w:i w:val="false"/>
          <w:color w:val="000000"/>
          <w:sz w:val="21"/>
        </w:rPr>
        <w:t>[Filed ARC 1158C</w:t>
      </w:r>
      <w:r>
        <w:rPr>
          <w:rFonts w:ascii="Times New Roman" w:hAnsi="Times New Roman"/>
          <w:b w:val="false"/>
          <w:i w:val="false"/>
          <w:color w:val="000000"/>
          <w:sz w:val="21"/>
        </w:rPr>
        <w:t xml:space="preserve"> (Notice ARC 1009C, IAB 9/4/13)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1766C</w:t>
      </w:r>
      <w:r>
        <w:rPr>
          <w:rFonts w:ascii="Times New Roman" w:hAnsi="Times New Roman"/>
          <w:b w:val="false"/>
          <w:i w:val="false"/>
          <w:color w:val="000000"/>
          <w:sz w:val="21"/>
        </w:rPr>
        <w:t xml:space="preserve"> (Notice ARC 1560C, IAB 7/23/14)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1971C</w:t>
      </w:r>
      <w:r>
        <w:rPr>
          <w:rFonts w:ascii="Times New Roman" w:hAnsi="Times New Roman"/>
          <w:b w:val="false"/>
          <w:i w:val="false"/>
          <w:color w:val="000000"/>
          <w:sz w:val="21"/>
        </w:rPr>
        <w:t xml:space="preserve"> (Notice ARC 1849C, IAB 2/4/15)</w:t>
      </w:r>
      <w:r>
        <w:rPr>
          <w:rFonts w:ascii="Times New Roman" w:hAnsi="Times New Roman"/>
          <w:b w:val="false"/>
          <w:i w:val="false"/>
          <w:color w:val="000000"/>
          <w:sz w:val="21"/>
        </w:rPr>
        <w:t>, IAB 4/29/15, effective 6/3/15]</w:t>
      </w:r>
      <w:r>
        <w:br/>
      </w:r>
      <w:r>
        <w:rPr>
          <w:rFonts w:ascii="Times New Roman" w:hAnsi="Times New Roman"/>
          <w:b w:val="false"/>
          <w:i w:val="false"/>
          <w:color w:val="000000"/>
          <w:sz w:val="21"/>
        </w:rPr>
        <w:t>[Filed ARC 1972C</w:t>
      </w:r>
      <w:r>
        <w:rPr>
          <w:rFonts w:ascii="Times New Roman" w:hAnsi="Times New Roman"/>
          <w:b w:val="false"/>
          <w:i w:val="false"/>
          <w:color w:val="000000"/>
          <w:sz w:val="21"/>
        </w:rPr>
        <w:t xml:space="preserve"> (Notice ARC 1853C, IAB 2/4/15)</w:t>
      </w:r>
      <w:r>
        <w:rPr>
          <w:rFonts w:ascii="Times New Roman" w:hAnsi="Times New Roman"/>
          <w:b w:val="false"/>
          <w:i w:val="false"/>
          <w:color w:val="000000"/>
          <w:sz w:val="21"/>
        </w:rPr>
        <w:t>, IAB 4/29/15, effective 6/3/15]</w:t>
      </w:r>
    </w:p>
    <w:p>
      <w:pPr>
        <w:spacing w:before="0" w:after="0"/>
        <w:ind w:left="120"/>
        <w:jc w:val="center"/>
      </w:pPr>
      <w:r>
        <w:rPr>
          <w:rFonts w:ascii="Times New Roman" w:hAnsi="Times New Roman"/>
          <w:b w:val="false"/>
          <w:i w:val="false"/>
          <w:color w:val="000000"/>
          <w:sz w:val="21"/>
        </w:rPr>
        <w:t>[Filed ARC 2333C</w:t>
      </w:r>
      <w:r>
        <w:rPr>
          <w:rFonts w:ascii="Times New Roman" w:hAnsi="Times New Roman"/>
          <w:b w:val="false"/>
          <w:i w:val="false"/>
          <w:color w:val="000000"/>
          <w:sz w:val="21"/>
        </w:rPr>
        <w:t xml:space="preserve"> (Notice ARC 2163C, IAB 9/30/15)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2396C</w:t>
      </w:r>
      <w:r>
        <w:rPr>
          <w:rFonts w:ascii="Times New Roman" w:hAnsi="Times New Roman"/>
          <w:b w:val="false"/>
          <w:i w:val="false"/>
          <w:color w:val="000000"/>
          <w:sz w:val="21"/>
        </w:rPr>
        <w:t xml:space="preserve"> (Notice ARC 2264C, IAB 11/25/15)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2603C</w:t>
      </w:r>
      <w:r>
        <w:rPr>
          <w:rFonts w:ascii="Times New Roman" w:hAnsi="Times New Roman"/>
          <w:b w:val="false"/>
          <w:i w:val="false"/>
          <w:color w:val="000000"/>
          <w:sz w:val="21"/>
        </w:rPr>
        <w:t xml:space="preserve"> (Notice ARC 2355C, IAB 1/6/16)</w:t>
      </w:r>
      <w:r>
        <w:rPr>
          <w:rFonts w:ascii="Times New Roman" w:hAnsi="Times New Roman"/>
          <w:b w:val="false"/>
          <w:i w:val="false"/>
          <w:color w:val="000000"/>
          <w:sz w:val="21"/>
        </w:rPr>
        <w:t>, IAB 7/6/16, effective 8/10/16]</w:t>
      </w:r>
      <w:r>
        <w:br/>
      </w:r>
      <w:r>
        <w:rPr>
          <w:rFonts w:ascii="Times New Roman" w:hAnsi="Times New Roman"/>
          <w:b w:val="false"/>
          <w:i w:val="false"/>
          <w:color w:val="000000"/>
          <w:sz w:val="21"/>
        </w:rPr>
        <w:t>[Filed ARC 2607C</w:t>
      </w:r>
      <w:r>
        <w:rPr>
          <w:rFonts w:ascii="Times New Roman" w:hAnsi="Times New Roman"/>
          <w:b w:val="false"/>
          <w:i w:val="false"/>
          <w:color w:val="000000"/>
          <w:sz w:val="21"/>
        </w:rPr>
        <w:t xml:space="preserve"> (Notice ARC 2422C, IAB 3/2/16)</w:t>
      </w:r>
      <w:r>
        <w:rPr>
          <w:rFonts w:ascii="Times New Roman" w:hAnsi="Times New Roman"/>
          <w:b w:val="false"/>
          <w:i w:val="false"/>
          <w:color w:val="000000"/>
          <w:sz w:val="21"/>
        </w:rPr>
        <w:t>, IAB 7/6/16, effective 8/10/16]</w:t>
      </w:r>
    </w:p>
    <w:p>
      <w:pPr>
        <w:spacing w:before="0" w:after="0"/>
        <w:ind w:left="120"/>
        <w:jc w:val="center"/>
      </w:pPr>
      <w:r>
        <w:rPr>
          <w:rFonts w:ascii="Times New Roman" w:hAnsi="Times New Roman"/>
          <w:b w:val="false"/>
          <w:i w:val="false"/>
          <w:color w:val="000000"/>
          <w:sz w:val="21"/>
        </w:rPr>
        <w:t>[Filed ARC 3742C</w:t>
      </w:r>
      <w:r>
        <w:rPr>
          <w:rFonts w:ascii="Times New Roman" w:hAnsi="Times New Roman"/>
          <w:b w:val="false"/>
          <w:i w:val="false"/>
          <w:color w:val="000000"/>
          <w:sz w:val="21"/>
        </w:rPr>
        <w:t xml:space="preserve"> (Notice ARC 3503C, IAB 12/20/17)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3856C</w:t>
      </w:r>
      <w:r>
        <w:rPr>
          <w:rFonts w:ascii="Times New Roman" w:hAnsi="Times New Roman"/>
          <w:b w:val="false"/>
          <w:i w:val="false"/>
          <w:color w:val="000000"/>
          <w:sz w:val="21"/>
        </w:rPr>
        <w:t xml:space="preserve"> (Notice ARC 3727C, IAB 4/11/18)</w:t>
      </w:r>
      <w:r>
        <w:rPr>
          <w:rFonts w:ascii="Times New Roman" w:hAnsi="Times New Roman"/>
          <w:b w:val="false"/>
          <w:i w:val="false"/>
          <w:color w:val="000000"/>
          <w:sz w:val="21"/>
        </w:rPr>
        <w:t>, IAB 6/20/18, effective 8/1/18]</w:t>
      </w:r>
    </w:p>
    <w:p>
      <w:pPr>
        <w:spacing w:before="0" w:after="0"/>
        <w:ind w:left="120"/>
        <w:jc w:val="center"/>
      </w:pPr>
      <w:r>
        <w:rPr>
          <w:rFonts w:ascii="Times New Roman" w:hAnsi="Times New Roman"/>
          <w:b w:val="false"/>
          <w:i w:val="false"/>
          <w:color w:val="000000"/>
          <w:sz w:val="21"/>
        </w:rPr>
        <w:t>[Filed ARC 4212C</w:t>
      </w:r>
      <w:r>
        <w:rPr>
          <w:rFonts w:ascii="Times New Roman" w:hAnsi="Times New Roman"/>
          <w:b w:val="false"/>
          <w:i w:val="false"/>
          <w:color w:val="000000"/>
          <w:sz w:val="21"/>
        </w:rPr>
        <w:t xml:space="preserve"> (Notice ARC 4088C, IAB 10/24/18)</w:t>
      </w:r>
      <w:r>
        <w:rPr>
          <w:rFonts w:ascii="Times New Roman" w:hAnsi="Times New Roman"/>
          <w:b w:val="false"/>
          <w:i w:val="false"/>
          <w:color w:val="000000"/>
          <w:sz w:val="21"/>
        </w:rPr>
        <w:t>, IAB 1/2/19, effective 3/1/19]</w:t>
      </w:r>
    </w:p>
    <w:p>
      <w:pPr>
        <w:spacing w:before="0" w:after="0"/>
        <w:ind w:left="120"/>
        <w:jc w:val="center"/>
      </w:pPr>
      <w:r>
        <w:rPr>
          <w:rFonts w:ascii="Times New Roman" w:hAnsi="Times New Roman"/>
          <w:b w:val="false"/>
          <w:i w:val="false"/>
          <w:color w:val="000000"/>
          <w:sz w:val="21"/>
        </w:rPr>
        <w:t>[Filed ARC 4376C</w:t>
      </w:r>
      <w:r>
        <w:rPr>
          <w:rFonts w:ascii="Times New Roman" w:hAnsi="Times New Roman"/>
          <w:b w:val="false"/>
          <w:i w:val="false"/>
          <w:color w:val="000000"/>
          <w:sz w:val="21"/>
        </w:rPr>
        <w:t xml:space="preserve"> (Notice ARC 4237C, IAB 1/16/19)</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5159C</w:t>
      </w:r>
      <w:r>
        <w:rPr>
          <w:rFonts w:ascii="Times New Roman" w:hAnsi="Times New Roman"/>
          <w:b w:val="false"/>
          <w:i w:val="false"/>
          <w:color w:val="000000"/>
          <w:sz w:val="21"/>
        </w:rPr>
        <w:t xml:space="preserve"> (Notice ARC 4940C, IAB 2/26/20)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5570C</w:t>
      </w:r>
      <w:r>
        <w:rPr>
          <w:rFonts w:ascii="Times New Roman" w:hAnsi="Times New Roman"/>
          <w:b w:val="false"/>
          <w:i w:val="false"/>
          <w:color w:val="000000"/>
          <w:sz w:val="21"/>
        </w:rPr>
        <w:t xml:space="preserve"> (Notice ARC 5436C, IAB 2/10/21)</w:t>
      </w:r>
      <w:r>
        <w:rPr>
          <w:rFonts w:ascii="Times New Roman" w:hAnsi="Times New Roman"/>
          <w:b w:val="false"/>
          <w:i w:val="false"/>
          <w:color w:val="000000"/>
          <w:sz w:val="21"/>
        </w:rPr>
        <w:t>, IAB 4/21/21, effective 6/1/21]</w:t>
      </w:r>
    </w:p>
    <w:p>
      <w:pPr>
        <w:spacing w:before="0" w:after="0"/>
        <w:ind w:left="120"/>
        <w:jc w:val="center"/>
      </w:pPr>
      <w:r>
        <w:rPr>
          <w:rFonts w:ascii="Times New Roman" w:hAnsi="Times New Roman"/>
          <w:b w:val="false"/>
          <w:i w:val="false"/>
          <w:color w:val="000000"/>
          <w:sz w:val="21"/>
        </w:rPr>
        <w:t>[Filed ARC 8773C</w:t>
      </w:r>
      <w:r>
        <w:rPr>
          <w:rFonts w:ascii="Times New Roman" w:hAnsi="Times New Roman"/>
          <w:b w:val="false"/>
          <w:i w:val="false"/>
          <w:color w:val="000000"/>
          <w:sz w:val="21"/>
        </w:rPr>
        <w:t xml:space="preserve"> (Notice ARC 8322C,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875.71.pdf" Type="http://schemas.openxmlformats.org/officeDocument/2006/relationships/hyperlink" Id="rId4"/>
    <Relationship TargetMode="External" Target="https://www.legis.iowa.gov/docs/iac/chapter/875.72.pdf" Type="http://schemas.openxmlformats.org/officeDocument/2006/relationships/hyperlink" Id="rId5"/>
    <Relationship TargetMode="External" Target="https://www.legis.iowa.gov/docs/iac/chapter/875.73.pdf" Type="http://schemas.openxmlformats.org/officeDocument/2006/relationships/hyperlink" Id="rId6"/>
    <Relationship TargetMode="External" Target="https://www.legis.iowa.gov/docs/ico/chapter/89A.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89A.pdf" Type="http://schemas.openxmlformats.org/officeDocument/2006/relationships/hyperlink" Id="rId9"/>
    <Relationship TargetMode="External" Target="https://www.legis.iowa.gov/docs/ico/chapter/89A.pdf" Type="http://schemas.openxmlformats.org/officeDocument/2006/relationships/hyperlink" Id="rId10"/>
    <Relationship TargetMode="External" Target="https://www.legis.iowa.gov/docs/ico/chapter/89A.pdf" Type="http://schemas.openxmlformats.org/officeDocument/2006/relationships/hyperlink" Id="rId11"/>
    <Relationship TargetMode="External" Target="https://www.legis.iowa.gov/docs/ico/chapter/252J.pdf" Type="http://schemas.openxmlformats.org/officeDocument/2006/relationships/hyperlink" Id="rId12"/>
    <Relationship TargetMode="External" Target="https://www.legis.iowa.gov/docs/ico/chapter/272D.pdf" Type="http://schemas.openxmlformats.org/officeDocument/2006/relationships/hyperlink" Id="rId13"/>
    <Relationship TargetMode="External" Target="https://www.legis.iowa.gov/docs/ico/chapter/252J.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ac/chapter/875.372.pdf" Type="http://schemas.openxmlformats.org/officeDocument/2006/relationships/hyperlink" Id="rId18"/>
    <Relationship TargetMode="External" Target="https://www.legis.iowa.gov/docs/iac/chapter/875.373.pdf" Type="http://schemas.openxmlformats.org/officeDocument/2006/relationships/hyperlink" Id="rId19"/>
    <Relationship TargetMode="External" Target="https://www.legis.iowa.gov/docs/iac/chapter/875.372.pdf" Type="http://schemas.openxmlformats.org/officeDocument/2006/relationships/hyperlink" Id="rId20"/>
    <Relationship TargetMode="External" Target="https://www.legis.iowa.gov/docs/iac/chapter/875.71-73.pdf" Type="http://schemas.openxmlformats.org/officeDocument/2006/relationships/hyperlink" Id="rId21"/>
    <Relationship TargetMode="External" Target="https://www.legis.iowa.gov/docs/ico/chapter/89A.pdf" Type="http://schemas.openxmlformats.org/officeDocument/2006/relationships/hyperlink" Id="rId22"/>
    <Relationship TargetMode="External" Target="https://www.legis.iowa.gov/docs/ico/chapter/252J.pdf" Type="http://schemas.openxmlformats.org/officeDocument/2006/relationships/hyperlink" Id="rId23"/>
    <Relationship TargetMode="External" Target="https://www.legis.iowa.gov/docs/ico/chapter/272D.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