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69</w:t>
      </w:r>
    </w:p>
    <w:p>
      <w:pPr>
        <w:spacing w:before="0" w:after="0"/>
        <w:ind w:left="120"/>
        <w:jc w:val="center"/>
      </w:pPr>
      <w:r>
        <w:rPr>
          <w:rFonts w:ascii="Times New Roman" w:hAnsi="Times New Roman"/>
          <w:b w:val="false"/>
          <w:i w:val="false"/>
          <w:color w:val="000000"/>
          <w:sz w:val="21"/>
        </w:rPr>
        <w:t>CONTESTED CASES BEFORE THE ELEVATOR SAFETY BOARD</w:t>
      </w:r>
    </w:p>
    <w:p>
      <w:pPr>
        <w:spacing w:before="0" w:after="0"/>
        <w:ind w:left="120"/>
        <w:jc w:val="both"/>
      </w:pPr>
      <w:r>
        <w:rPr>
          <w:rFonts w:ascii="Times New Roman" w:hAnsi="Times New Roman"/>
          <w:b/>
          <w:i w:val="false"/>
          <w:color w:val="000000"/>
          <w:sz w:val="22"/>
        </w:rPr>
        <w:t>875—69.1</w:t>
      </w:r>
      <w:r>
        <w:rPr>
          <w:rFonts w:ascii="Times New Roman" w:hAnsi="Times New Roman"/>
          <w:b/>
          <w:i w:val="false"/>
          <w:color w:val="000000"/>
          <w:sz w:val="22"/>
        </w:rPr>
        <w:t xml:space="preserve">(17A,89A) </w:t>
      </w:r>
      <w:r>
        <w:rPr>
          <w:rFonts w:ascii="Times New Roman" w:hAnsi="Times New Roman"/>
          <w:b/>
          <w:i w:val="false"/>
          <w:color w:val="000000"/>
          <w:sz w:val="22"/>
        </w:rPr>
        <w:t xml:space="preserve">Reconsideration of inspection report. </w:t>
      </w:r>
      <w:r>
        <w:rPr>
          <w:rFonts w:ascii="Times New Roman" w:hAnsi="Times New Roman"/>
          <w:b w:val="false"/>
          <w:i w:val="false"/>
          <w:color w:val="000000"/>
          <w:sz w:val="22"/>
        </w:rPr>
        <w:t>The owner or operator of a piece of equipment subject to a written inspection report may petition the director for reconsideration of the report within 30 days of the issuance of the report. Failure to seek timely reconsideration of the inspection report is a waiver of all appeal rights. The burden of demonstrating compliance with all applicable statutory provisions, administrative rules, and codes adopted by reference rests upon the petitioning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w:t>
      </w:r>
      <w:r>
        <w:rPr>
          <w:rFonts w:ascii="Times New Roman" w:hAnsi="Times New Roman"/>
          <w:b w:val="false"/>
          <w:i w:val="false"/>
          <w:color w:val="000000"/>
          <w:sz w:val="22"/>
        </w:rPr>
        <w:t> </w:t>
      </w:r>
      <w:r>
        <w:rPr>
          <w:rFonts w:ascii="Times New Roman" w:hAnsi="Times New Roman"/>
          <w:b w:val="false"/>
          <w:i w:val="false"/>
          <w:color w:val="000000"/>
          <w:sz w:val="22"/>
        </w:rPr>
        <w:t>A petition for reconsideration shall be in writing and must be signed by the requesting party or a representative of that party. The required form for a petition for reconsideration is available on the board’s website. A petition for reconsideration specifies: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 seeking reconsideration,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equipment subject to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inspection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inspector who issued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w:t>
      </w:r>
      <w:r>
        <w:rPr>
          <w:rFonts w:ascii="Times New Roman" w:hAnsi="Times New Roman"/>
          <w:b w:val="false"/>
          <w:i w:val="false"/>
          <w:color w:val="000000"/>
          <w:sz w:val="22"/>
        </w:rPr>
        <w:t> </w:t>
      </w:r>
      <w:r>
        <w:rPr>
          <w:rFonts w:ascii="Times New Roman" w:hAnsi="Times New Roman"/>
          <w:b w:val="false"/>
          <w:i w:val="false"/>
          <w:color w:val="000000"/>
          <w:sz w:val="22"/>
        </w:rPr>
        <w:t>A copy of the challenged inspection report shall be attached to the petition for reconsideration. The petitioning party shall also include all relevant documents that the petitioning party desires the director to consider when evaluating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w:t>
      </w:r>
      <w:r>
        <w:rPr>
          <w:rFonts w:ascii="Times New Roman" w:hAnsi="Times New Roman"/>
          <w:b w:val="false"/>
          <w:i w:val="false"/>
          <w:color w:val="000000"/>
          <w:sz w:val="22"/>
        </w:rPr>
        <w:t> </w:t>
      </w:r>
      <w:r>
        <w:rPr>
          <w:rFonts w:ascii="Times New Roman" w:hAnsi="Times New Roman"/>
          <w:b w:val="false"/>
          <w:i w:val="false"/>
          <w:color w:val="000000"/>
          <w:sz w:val="22"/>
        </w:rPr>
        <w:t>The director or a designee of the director is authorized to seek additional information relating to a petition for reconsideration from the petitioning party or any other entity possessing information the director deems relevant to the petition. This subrule, however, does not impose any responsibility or duty on the director to discover documents or other information that was not submitted with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received by the office of the director within 30 days of the issuance of the challenged inspection report is untimely and will not be considered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not consider any request for waiver of an administrative rule made as part of a petition for reconsideration. Requests for waivers of administrative rules may only be made to the board pursuant to the provisions of </w:t>
      </w:r>
      <w:hyperlink r:id="rId4">
        <w:r>
          <w:rPr>
            <w:rStyle w:val="Hyperlink"/>
            <w:rFonts w:ascii="Times New Roman" w:hAnsi="Times New Roman"/>
            <w:b w:val="false"/>
            <w:i w:val="false"/>
            <w:color w:val="000000"/>
            <w:sz w:val="22"/>
          </w:rPr>
          <w:t>875—Chapter 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w:t>
      </w:r>
      <w:r>
        <w:rPr>
          <w:rFonts w:ascii="Times New Roman" w:hAnsi="Times New Roman"/>
          <w:b w:val="false"/>
          <w:i w:val="false"/>
          <w:color w:val="000000"/>
          <w:sz w:val="22"/>
        </w:rPr>
        <w:t> </w:t>
      </w:r>
      <w:r>
        <w:rPr>
          <w:rFonts w:ascii="Times New Roman" w:hAnsi="Times New Roman"/>
          <w:b w:val="false"/>
          <w:i w:val="false"/>
          <w:color w:val="000000"/>
          <w:sz w:val="22"/>
        </w:rPr>
        <w:t>The director shall issue a written ruling on the petition for reconsideration. In ruling on a petition for reconsideration, the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Affirm the inspection report 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Issue an amended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Rescind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Deny the petition as untimely.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ruled upon by the director within 20 days of receipt by the office of the director shall be deemed denied and the challenged inspection report affirmed as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w:t>
      </w:r>
      <w:r>
        <w:rPr>
          <w:rFonts w:ascii="Times New Roman" w:hAnsi="Times New Roman"/>
          <w:b/>
          <w:i w:val="false"/>
          <w:color w:val="000000"/>
          <w:sz w:val="22"/>
        </w:rPr>
        <w:t xml:space="preserve">(17A,89A) </w:t>
      </w:r>
      <w:r>
        <w:rPr>
          <w:rFonts w:ascii="Times New Roman" w:hAnsi="Times New Roman"/>
          <w:b/>
          <w:i w:val="false"/>
          <w:color w:val="000000"/>
          <w:sz w:val="22"/>
        </w:rPr>
        <w:t xml:space="preserve">Appeal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w:t>
      </w:r>
      <w:r>
        <w:rPr>
          <w:rFonts w:ascii="Times New Roman" w:hAnsi="Times New Roman"/>
          <w:b w:val="false"/>
          <w:i w:val="false"/>
          <w:color w:val="000000"/>
          <w:sz w:val="22"/>
        </w:rPr>
        <w:t> </w:t>
      </w:r>
      <w:r>
        <w:rPr>
          <w:rFonts w:ascii="Times New Roman" w:hAnsi="Times New Roman"/>
          <w:b w:val="false"/>
          <w:i w:val="false"/>
          <w:color w:val="000000"/>
          <w:sz w:val="22"/>
        </w:rPr>
        <w:t>A decision by the director to deny, suspend, or revoke an operating permit; a deemed denial of a petition for reconsideration; and the director’s ruling on a petition for reconsideration are subject to appeal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appeal to the board is a contested case proceeding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w:t>
      </w:r>
      <w:r>
        <w:rPr>
          <w:rFonts w:ascii="Times New Roman" w:hAnsi="Times New Roman"/>
          <w:b w:val="false"/>
          <w:i w:val="false"/>
          <w:color w:val="000000"/>
          <w:sz w:val="22"/>
        </w:rPr>
        <w:t> </w:t>
      </w:r>
      <w:r>
        <w:rPr>
          <w:rFonts w:ascii="Times New Roman" w:hAnsi="Times New Roman"/>
          <w:b w:val="false"/>
          <w:i w:val="false"/>
          <w:color w:val="000000"/>
          <w:sz w:val="22"/>
        </w:rPr>
        <w:t>The director has an automatic right of intervention in any appeal and shall defend the ruling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w:t>
      </w:r>
      <w:r>
        <w:rPr>
          <w:rFonts w:ascii="Times New Roman" w:hAnsi="Times New Roman"/>
          <w:b w:val="false"/>
          <w:i w:val="false"/>
          <w:color w:val="000000"/>
          <w:sz w:val="22"/>
        </w:rPr>
        <w:t> </w:t>
      </w:r>
      <w:r>
        <w:rPr>
          <w:rFonts w:ascii="Times New Roman" w:hAnsi="Times New Roman"/>
          <w:b w:val="false"/>
          <w:i w:val="false"/>
          <w:color w:val="000000"/>
          <w:sz w:val="22"/>
        </w:rPr>
        <w:t>Only those issues raised by the petitioner in the petition for reconsideration will be preserved for appeal to the board in an appeal from the deemed denial of a petition for reconsideration and an appeal from the director’s ruling on a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w:t>
      </w:r>
      <w:r>
        <w:rPr>
          <w:rFonts w:ascii="Times New Roman" w:hAnsi="Times New Roman"/>
          <w:b w:val="false"/>
          <w:i w:val="false"/>
          <w:color w:val="000000"/>
          <w:sz w:val="22"/>
        </w:rPr>
        <w:t> </w:t>
      </w:r>
      <w:r>
        <w:rPr>
          <w:rFonts w:ascii="Times New Roman" w:hAnsi="Times New Roman"/>
          <w:b w:val="false"/>
          <w:i w:val="false"/>
          <w:color w:val="000000"/>
          <w:sz w:val="22"/>
        </w:rPr>
        <w:t>At a minimum, an appeal includes a short and concise statement of the basis for the appeal. The required form for an appeal to the board is available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w:t>
      </w:r>
      <w:r>
        <w:rPr>
          <w:rFonts w:ascii="Times New Roman" w:hAnsi="Times New Roman"/>
          <w:b w:val="false"/>
          <w:i w:val="false"/>
          <w:color w:val="000000"/>
          <w:sz w:val="22"/>
        </w:rPr>
        <w:t> </w:t>
      </w:r>
      <w:r>
        <w:rPr>
          <w:rFonts w:ascii="Times New Roman" w:hAnsi="Times New Roman"/>
          <w:b w:val="false"/>
          <w:i w:val="false"/>
          <w:color w:val="000000"/>
          <w:sz w:val="22"/>
        </w:rPr>
        <w:t>The deadlines for filing an appeal are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an inspection report. </w:t>
      </w:r>
      <w:r>
        <w:rPr>
          <w:rFonts w:ascii="Times New Roman" w:hAnsi="Times New Roman"/>
          <w:b w:val="false"/>
          <w:i w:val="false"/>
          <w:color w:val="000000"/>
          <w:sz w:val="22"/>
        </w:rPr>
        <w:t>An appeal must be filed in writing with the board within 30 calendar days of the earlier of either the issuance of the director’s written ruling on a petition for reconsideration or the deemed denial of a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intent to deny, suspend, or revoke an operating permit. </w:t>
      </w:r>
      <w:r>
        <w:rPr>
          <w:rFonts w:ascii="Times New Roman" w:hAnsi="Times New Roman"/>
          <w:b w:val="false"/>
          <w:i w:val="false"/>
          <w:color w:val="000000"/>
          <w:sz w:val="22"/>
        </w:rPr>
        <w:t>An appeal must be filed in writing with the board within 30 calendar days of the appellant’s receipt of the notification of intent to deny, suspend, or revoke an operating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875—69.3</w:t>
      </w:r>
      <w:r>
        <w:rPr>
          <w:rFonts w:ascii="Times New Roman" w:hAnsi="Times New Roman"/>
          <w:b/>
          <w:i w:val="false"/>
          <w:color w:val="000000"/>
          <w:sz w:val="22"/>
        </w:rPr>
        <w:t xml:space="preserve">(17A,89A) </w:t>
      </w:r>
      <w:r>
        <w:rPr>
          <w:rFonts w:ascii="Times New Roman" w:hAnsi="Times New Roman"/>
          <w:b/>
          <w:i w:val="false"/>
          <w:color w:val="000000"/>
          <w:sz w:val="22"/>
        </w:rPr>
        <w:t xml:space="preserve">Informal review. </w:t>
      </w:r>
      <w:r>
        <w:rPr>
          <w:rFonts w:ascii="Times New Roman" w:hAnsi="Times New Roman"/>
          <w:b w:val="false"/>
          <w:i w:val="false"/>
          <w:color w:val="000000"/>
          <w:sz w:val="22"/>
        </w:rPr>
        <w:t>If the appellant requests and the director does not object, the board may conduct an informal review of the facts and circumstances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preserve the ability of board members to participate in decision making, a party who elects an informal review under this rule waives the party’s right to seek disqualification of a board member as a presiding officer in a later contested case proceeding based on the board member’s participation in the informal review. A party who elects informal review retains the right to seek disqualification of board members on any other ground pursuant to subrule </w:t>
      </w:r>
      <w:r>
        <w:rPr>
          <w:rFonts w:ascii="Times New Roman" w:hAnsi="Times New Roman"/>
          <w:b w:val="false"/>
          <w:i w:val="false"/>
          <w:color w:val="000000"/>
          <w:sz w:val="22"/>
        </w:rPr>
        <w:t>69.14(4)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w:t>
      </w:r>
      <w:r>
        <w:rPr>
          <w:rFonts w:ascii="Times New Roman" w:hAnsi="Times New Roman"/>
          <w:b w:val="false"/>
          <w:i w:val="false"/>
          <w:color w:val="000000"/>
          <w:sz w:val="22"/>
        </w:rPr>
        <w:t> </w:t>
      </w:r>
      <w:r>
        <w:rPr>
          <w:rFonts w:ascii="Times New Roman" w:hAnsi="Times New Roman"/>
          <w:b w:val="false"/>
          <w:i w:val="false"/>
          <w:color w:val="000000"/>
          <w:sz w:val="22"/>
        </w:rPr>
        <w:t>The board may propose a preliminary order at the time of informal review. If a party does not consent to the preliminary order, a party must submit a request to proceed with formal contested case proceedings, including hearing, within ten days of the informal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6">
        <w:r>
          <w:rPr>
            <w:rStyle w:val="Hyperlink"/>
            <w:rFonts w:ascii="Times New Roman" w:hAnsi="Times New Roman"/>
            <w:b w:val="false"/>
            <w:i w:val="false"/>
            <w:color w:val="000000"/>
            <w:sz w:val="22"/>
          </w:rPr>
          <w:t>875—69.4</w:t>
        </w:r>
      </w:hyperlink>
      <w:r>
        <w:rPr>
          <w:rFonts w:ascii="Times New Roman" w:hAnsi="Times New Roman"/>
          <w:b w:val="false"/>
          <w:i w:val="false"/>
          <w:color w:val="000000"/>
          <w:sz w:val="22"/>
        </w:rPr>
        <w:t xml:space="preserve">(17A,89A) through </w:t>
      </w:r>
      <w:hyperlink r:id="rId7">
        <w:r>
          <w:rPr>
            <w:rStyle w:val="Hyperlink"/>
            <w:rFonts w:ascii="Times New Roman" w:hAnsi="Times New Roman"/>
            <w:b w:val="false"/>
            <w:i w:val="false"/>
            <w:color w:val="000000"/>
            <w:sz w:val="22"/>
          </w:rPr>
          <w:t>875—69.31</w:t>
        </w:r>
      </w:hyperlink>
      <w:r>
        <w:rPr>
          <w:rFonts w:ascii="Times New Roman" w:hAnsi="Times New Roman"/>
          <w:b w:val="false"/>
          <w:i w:val="false"/>
          <w:color w:val="000000"/>
          <w:sz w:val="22"/>
        </w:rPr>
        <w:t>(17A,89A) do not apply during informal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875—69.4</w:t>
      </w:r>
      <w:r>
        <w:rPr>
          <w:rFonts w:ascii="Times New Roman" w:hAnsi="Times New Roman"/>
          <w:b/>
          <w:i w:val="false"/>
          <w:color w:val="000000"/>
          <w:sz w:val="22"/>
        </w:rPr>
        <w:t xml:space="preserve">(17A,89A) </w:t>
      </w:r>
      <w:r>
        <w:rPr>
          <w:rFonts w:ascii="Times New Roman" w:hAnsi="Times New Roman"/>
          <w:b/>
          <w:i w:val="false"/>
          <w:color w:val="000000"/>
          <w:sz w:val="22"/>
        </w:rPr>
        <w:t xml:space="preserve">Delivery of notice. </w:t>
      </w:r>
      <w:r>
        <w:rPr>
          <w:rFonts w:ascii="Times New Roman" w:hAnsi="Times New Roman"/>
          <w:b w:val="false"/>
          <w:i w:val="false"/>
          <w:color w:val="000000"/>
          <w:sz w:val="22"/>
        </w:rPr>
        <w:t>Delivery of the notice of hearing by the board constitutes the commencement of a contested case proceeding. Delivery may be executed by regular mail. The notice shall be delivered to the appellant; the appellant’s attorney, if known; and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875—69.5</w:t>
      </w:r>
      <w:r>
        <w:rPr>
          <w:rFonts w:ascii="Times New Roman" w:hAnsi="Times New Roman"/>
          <w:b/>
          <w:i w:val="false"/>
          <w:color w:val="000000"/>
          <w:sz w:val="22"/>
        </w:rPr>
        <w:t xml:space="preserve">(17A,89A) </w:t>
      </w:r>
      <w:r>
        <w:rPr>
          <w:rFonts w:ascii="Times New Roman" w:hAnsi="Times New Roman"/>
          <w:b/>
          <w:i w:val="false"/>
          <w:color w:val="000000"/>
          <w:sz w:val="22"/>
        </w:rPr>
        <w:t xml:space="preserve">Contents of notice. </w:t>
      </w:r>
      <w:r>
        <w:rPr>
          <w:rFonts w:ascii="Times New Roman" w:hAnsi="Times New Roman"/>
          <w:b w:val="false"/>
          <w:i w:val="false"/>
          <w:color w:val="000000"/>
          <w:sz w:val="22"/>
        </w:rPr>
        <w:t>The notice of hearing shall contain a statement of the time, place, and nature of the hearing. The notice shall contain a short and plain statement of the matters asserted. If the board is unable to state the matters in detail at the time the notice is served, the initial notice may be limited to a statement of the issues involved. Thereafter, upon application, a more definite and detailed statement shall be furnished. The notice shall contain a statement that it is the appellant’s burden on appeal to prove compliance with all applicable statutory provisions, administrative rules, and ASME code sections. The notice shall also contain a reference to the applicable statute and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875—69.6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875—69.7</w:t>
      </w:r>
      <w:r>
        <w:rPr>
          <w:rFonts w:ascii="Times New Roman" w:hAnsi="Times New Roman"/>
          <w:b/>
          <w:i w:val="false"/>
          <w:color w:val="000000"/>
          <w:sz w:val="22"/>
        </w:rPr>
        <w:t xml:space="preserve">(17A,89A) </w:t>
      </w:r>
      <w:r>
        <w:rPr>
          <w:rFonts w:ascii="Times New Roman" w:hAnsi="Times New Roman"/>
          <w:b/>
          <w:i w:val="false"/>
          <w:color w:val="000000"/>
          <w:sz w:val="22"/>
        </w:rPr>
        <w:t xml:space="preserve">File transmitted to the board. </w:t>
      </w:r>
      <w:r>
        <w:rPr>
          <w:rFonts w:ascii="Times New Roman" w:hAnsi="Times New Roman"/>
          <w:b w:val="false"/>
          <w:i w:val="false"/>
          <w:color w:val="000000"/>
          <w:sz w:val="22"/>
        </w:rPr>
        <w:t>Within 30 days of the issuance of a notice of hearing, the director shall forward to each board member and all parties of record to the appeal copies of the applicable documents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Petition for reconsideration with the appellant’s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Documents obtained by the director in ruling on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Ruling on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Decision denying, suspending, or revoking an operating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Appeal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875—69.8</w:t>
      </w:r>
      <w:r>
        <w:rPr>
          <w:rFonts w:ascii="Times New Roman" w:hAnsi="Times New Roman"/>
          <w:b/>
          <w:i w:val="false"/>
          <w:color w:val="000000"/>
          <w:sz w:val="22"/>
        </w:rPr>
        <w:t xml:space="preserve">(17A,89A) </w:t>
      </w:r>
      <w:r>
        <w:rPr>
          <w:rFonts w:ascii="Times New Roman" w:hAnsi="Times New Roman"/>
          <w:b/>
          <w:i w:val="false"/>
          <w:color w:val="000000"/>
          <w:sz w:val="22"/>
        </w:rPr>
        <w:t xml:space="preserve">Legal representation. </w:t>
      </w:r>
      <w:r>
        <w:rPr>
          <w:rFonts w:ascii="Times New Roman" w:hAnsi="Times New Roman"/>
          <w:b w:val="false"/>
          <w:i w:val="false"/>
          <w:color w:val="000000"/>
          <w:sz w:val="22"/>
        </w:rPr>
        <w:t>Any private party to a contested case is entitled to legal representation at the discretion and expense of that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875—69.9</w:t>
      </w:r>
      <w:r>
        <w:rPr>
          <w:rFonts w:ascii="Times New Roman" w:hAnsi="Times New Roman"/>
          <w:b/>
          <w:i w:val="false"/>
          <w:color w:val="000000"/>
          <w:sz w:val="22"/>
        </w:rPr>
        <w:t xml:space="preserve">(17A,89A)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in all contested cases is the board, a panel of board members, or an administrative law judge assigned by the department of inspections, appeals, and licensing. When board members act as presiding officer, they shall conduct the hearing and issue either a final decision or, if a quorum of the board is not present, a proposed decision. As provided in subrule </w:t>
      </w:r>
      <w:r>
        <w:rPr>
          <w:rFonts w:ascii="Times New Roman" w:hAnsi="Times New Roman"/>
          <w:b w:val="false"/>
          <w:i w:val="false"/>
          <w:color w:val="000000"/>
          <w:sz w:val="22"/>
        </w:rPr>
        <w:t>69.9(4)</w:t>
      </w:r>
      <w:r>
        <w:rPr>
          <w:rFonts w:ascii="Times New Roman" w:hAnsi="Times New Roman"/>
          <w:b w:val="false"/>
          <w:i w:val="false"/>
          <w:color w:val="000000"/>
          <w:sz w:val="22"/>
        </w:rPr>
        <w:t>, the board may be assisted by an administrative law judge when the board acts as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69.9(2)</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that wishes to request that the presiding officer assigned to render a proposed decision be an administrative law judge employed by the department of inspections, appeals, and licensing must file a written request within 20 days after service of a notice of hearing that identifies the presiding officer as the board. The board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board nor any officer of the board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intra-agency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69.9(3)</w:t>
      </w:r>
      <w:r>
        <w:rPr>
          <w:rFonts w:ascii="Times New Roman" w:hAnsi="Times New Roman"/>
          <w:b w:val="false"/>
          <w:i w:val="false"/>
          <w:color w:val="000000"/>
          <w:sz w:val="22"/>
        </w:rPr>
        <w:t> </w:t>
      </w:r>
      <w:r>
        <w:rPr>
          <w:rFonts w:ascii="Times New Roman" w:hAnsi="Times New Roman"/>
          <w:b w:val="false"/>
          <w:i w:val="false"/>
          <w:color w:val="000000"/>
          <w:sz w:val="22"/>
        </w:rPr>
        <w:t>The board shall issue a written ruling specifying the grounds for its decision within 20 days after a request for an administrative law judge is filed. If the ruling is granted, the administrative law judge assigned to act as presiding officer and to issue a proposed decision in a contested case shall have a Juris Doctor degree unless this requirement is waived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69.9(4)</w:t>
      </w:r>
      <w:r>
        <w:rPr>
          <w:rFonts w:ascii="Times New Roman" w:hAnsi="Times New Roman"/>
          <w:b w:val="false"/>
          <w:i w:val="false"/>
          <w:color w:val="000000"/>
          <w:sz w:val="22"/>
        </w:rPr>
        <w:t> </w:t>
      </w:r>
      <w:r>
        <w:rPr>
          <w:rFonts w:ascii="Times New Roman" w:hAnsi="Times New Roman"/>
          <w:b w:val="false"/>
          <w:i w:val="false"/>
          <w:color w:val="000000"/>
          <w:sz w:val="22"/>
        </w:rPr>
        <w:t>The board or a panel of board members when acting as presiding officer may request that an administrative law judge perform certain functions as an aid to the board or board panel, such as ruling on prehearing motions, conducting the prehearing conference, ruling on evidentiary objections at hearing, assisting in deliberations, or drafting the written decision for review by the board or board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69.9(5)</w:t>
      </w:r>
      <w:r>
        <w:rPr>
          <w:rFonts w:ascii="Times New Roman" w:hAnsi="Times New Roman"/>
          <w:b w:val="false"/>
          <w:i w:val="false"/>
          <w:color w:val="000000"/>
          <w:sz w:val="22"/>
        </w:rPr>
        <w:t> </w:t>
      </w:r>
      <w:r>
        <w:rPr>
          <w:rFonts w:ascii="Times New Roman" w:hAnsi="Times New Roman"/>
          <w:b w:val="false"/>
          <w:i w:val="false"/>
          <w:color w:val="000000"/>
          <w:sz w:val="22"/>
        </w:rPr>
        <w:t xml:space="preserve">All rulings by an administrative law judge who acts either as presiding officer or assistant to the board are subject to appeal to the board pursuant to rules </w:t>
      </w:r>
      <w:hyperlink r:id="rId8">
        <w:r>
          <w:rPr>
            <w:rStyle w:val="Hyperlink"/>
            <w:rFonts w:ascii="Times New Roman" w:hAnsi="Times New Roman"/>
            <w:b w:val="false"/>
            <w:i w:val="false"/>
            <w:color w:val="000000"/>
            <w:sz w:val="22"/>
          </w:rPr>
          <w:t>875—69.26</w:t>
        </w:r>
      </w:hyperlink>
      <w:r>
        <w:rPr>
          <w:rFonts w:ascii="Times New Roman" w:hAnsi="Times New Roman"/>
          <w:b w:val="false"/>
          <w:i w:val="false"/>
          <w:color w:val="000000"/>
          <w:sz w:val="22"/>
        </w:rPr>
        <w:t xml:space="preserve">(17A,89A) and </w:t>
      </w:r>
      <w:hyperlink r:id="rId9">
        <w:r>
          <w:rPr>
            <w:rStyle w:val="Hyperlink"/>
            <w:rFonts w:ascii="Times New Roman" w:hAnsi="Times New Roman"/>
            <w:b w:val="false"/>
            <w:i w:val="false"/>
            <w:color w:val="000000"/>
            <w:sz w:val="22"/>
          </w:rPr>
          <w:t>875—69.27</w:t>
        </w:r>
      </w:hyperlink>
      <w:r>
        <w:rPr>
          <w:rFonts w:ascii="Times New Roman" w:hAnsi="Times New Roman"/>
          <w:b w:val="false"/>
          <w:i w:val="false"/>
          <w:color w:val="000000"/>
          <w:sz w:val="22"/>
        </w:rPr>
        <w:t>(17A,89A). A party must timely seek intra-agency appeal of prehearing rulings or proposed decisions in order to exhaust adequate administrative remedies. While a party may seek immediate board or board panel review of rulings made by an administrative law judge when sitting with and acting as an aid to the board or board panel during a hearing, such immediate review is not required to preserve error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 panel of the board or an administrative law judge, board members have the powers of and shall comply with the provisions of this chapter that apply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875—69.10</w:t>
      </w:r>
      <w:r>
        <w:rPr>
          <w:rFonts w:ascii="Times New Roman" w:hAnsi="Times New Roman"/>
          <w:b/>
          <w:i w:val="false"/>
          <w:color w:val="000000"/>
          <w:sz w:val="22"/>
        </w:rPr>
        <w:t xml:space="preserve">(17A,89A) </w:t>
      </w:r>
      <w:r>
        <w:rPr>
          <w:rFonts w:ascii="Times New Roman" w:hAnsi="Times New Roman"/>
          <w:b/>
          <w:i w:val="false"/>
          <w:color w:val="000000"/>
          <w:sz w:val="22"/>
        </w:rPr>
        <w:t xml:space="preserve">Service and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69.10(1)</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every document filed in a contested case proceeding shall be served upon each of the parties of record. Except for the original notice of hearing and an application for rehearing as provided in Iowa Code section </w:t>
      </w:r>
      <w:hyperlink r:id="rId10">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is made upon the attorney unless otherwise ordered. Service is made by personal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documents that are required to be served upon a party shall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board,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mail return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20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Elevator Safety Board, Department of Inspections, Appeals, and Licensing, 6200 Park Avenue, Suite 100, Des Moines, Iowa 50321 and to the names and addresses of the parties listed below by depositing the same in a United States post office mailbox with correct postage properly affixed.</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875—69.11</w:t>
      </w:r>
      <w:r>
        <w:rPr>
          <w:rFonts w:ascii="Times New Roman" w:hAnsi="Times New Roman"/>
          <w:b/>
          <w:i w:val="false"/>
          <w:color w:val="000000"/>
          <w:sz w:val="22"/>
        </w:rPr>
        <w:t xml:space="preserve">(17A,89A)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is computed as provided in Iowa Code section </w:t>
      </w:r>
      <w:hyperlink r:id="rId11">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875—69.12</w:t>
      </w:r>
      <w:r>
        <w:rPr>
          <w:rFonts w:ascii="Times New Roman" w:hAnsi="Times New Roman"/>
          <w:b/>
          <w:i w:val="false"/>
          <w:color w:val="000000"/>
          <w:sz w:val="22"/>
        </w:rPr>
        <w:t xml:space="preserve">(17A,89A)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board in its discretion may refuse to give effect to such a waiver when the board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875—69.13</w:t>
      </w:r>
      <w:r>
        <w:rPr>
          <w:rFonts w:ascii="Times New Roman" w:hAnsi="Times New Roman"/>
          <w:b/>
          <w:i w:val="false"/>
          <w:color w:val="000000"/>
          <w:sz w:val="22"/>
        </w:rPr>
        <w:t xml:space="preserve">(17A,89A) </w:t>
      </w:r>
      <w:r>
        <w:rPr>
          <w:rFonts w:ascii="Times New Roman" w:hAnsi="Times New Roman"/>
          <w:b/>
          <w:i w:val="false"/>
          <w:color w:val="000000"/>
          <w:sz w:val="22"/>
        </w:rPr>
        <w:t xml:space="preserve">Telephone and electronic proceedings. </w:t>
      </w:r>
      <w:r>
        <w:rPr>
          <w:rFonts w:ascii="Times New Roman" w:hAnsi="Times New Roman"/>
          <w:b w:val="false"/>
          <w:i w:val="false"/>
          <w:color w:val="000000"/>
          <w:sz w:val="22"/>
        </w:rPr>
        <w:t>The presiding officer may, on the officer’s own motion or as requested by a party, order hearings or argument to be held by telephone conference or other electronic means in which all parties have an opportunity to participate. The presiding officer will determine the location of the parties and witnesses for telephone or other electronic hearings. The convenience of the witnesses or parties, as well as the nature of the case, will be considered when location is chosen. Parties shall disclose at or before the prehearing conference if any witness will be testifying by telephone. Objections, if any, are filed with the board and served on all parties at least three business days in advance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875—69.14</w:t>
      </w:r>
      <w:r>
        <w:rPr>
          <w:rFonts w:ascii="Times New Roman" w:hAnsi="Times New Roman"/>
          <w:b/>
          <w:i w:val="false"/>
          <w:color w:val="000000"/>
          <w:sz w:val="22"/>
        </w:rPr>
        <w:t xml:space="preserve">(17A,89A)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that is relayed to assigned investigators, review of another person’s investigative work product in the course of determining whether there is probable cause to initiate a proceeding, or exposure to factual information while performing other board functions, including fact gathering for purposes other than investigation of the matter that culminates in a contested case. Factual information relevant to the merits of a contested case received by a person who later serves as presiding officer in that case shall be disclosed if required by Iowa Code section </w:t>
      </w:r>
      <w:hyperlink r:id="rId12">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 </w:t>
      </w:r>
      <w:r>
        <w:rPr>
          <w:rFonts w:ascii="Times New Roman" w:hAnsi="Times New Roman"/>
          <w:b w:val="false"/>
          <w:i w:val="false"/>
          <w:color w:val="000000"/>
          <w:sz w:val="22"/>
        </w:rPr>
        <w:t>69.25(7)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that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r>
        <w:rPr>
          <w:rFonts w:ascii="Times New Roman" w:hAnsi="Times New Roman"/>
          <w:b w:val="false"/>
          <w:i w:val="false"/>
          <w:color w:val="000000"/>
          <w:sz w:val="22"/>
        </w:rPr>
        <w:t>69.14(1)</w:t>
      </w:r>
      <w:r>
        <w:rPr>
          <w:rFonts w:ascii="Times New Roman" w:hAnsi="Times New Roman"/>
          <w:b w:val="false"/>
          <w:i w:val="false"/>
          <w:color w:val="000000"/>
          <w:sz w:val="22"/>
        </w:rPr>
        <w:t xml:space="preserve">, the party shall file a motion supported by an affidavit pursuant to Iowa Code section </w:t>
      </w:r>
      <w:hyperlink r:id="rId13">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69.14(5)</w:t>
      </w:r>
      <w:r>
        <w:rPr>
          <w:rFonts w:ascii="Times New Roman" w:hAnsi="Times New Roman"/>
          <w:b w:val="false"/>
          <w:i w:val="false"/>
          <w:color w:val="000000"/>
          <w:sz w:val="22"/>
        </w:rPr>
        <w:t> </w:t>
      </w: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rule </w:t>
      </w:r>
      <w:hyperlink r:id="rId14">
        <w:r>
          <w:rPr>
            <w:rStyle w:val="Hyperlink"/>
            <w:rFonts w:ascii="Times New Roman" w:hAnsi="Times New Roman"/>
            <w:b w:val="false"/>
            <w:i w:val="false"/>
            <w:color w:val="000000"/>
            <w:sz w:val="22"/>
          </w:rPr>
          <w:t>875—69.26</w:t>
        </w:r>
      </w:hyperlink>
      <w:r>
        <w:rPr>
          <w:rFonts w:ascii="Times New Roman" w:hAnsi="Times New Roman"/>
          <w:b w:val="false"/>
          <w:i w:val="false"/>
          <w:color w:val="000000"/>
          <w:sz w:val="22"/>
        </w:rPr>
        <w:t xml:space="preserve">(17A,89A) and seek a stay under rule </w:t>
      </w:r>
      <w:hyperlink r:id="rId15">
        <w:r>
          <w:rPr>
            <w:rStyle w:val="Hyperlink"/>
            <w:rFonts w:ascii="Times New Roman" w:hAnsi="Times New Roman"/>
            <w:b w:val="false"/>
            <w:i w:val="false"/>
            <w:color w:val="000000"/>
            <w:sz w:val="22"/>
          </w:rPr>
          <w:t>875—69.30</w:t>
        </w:r>
      </w:hyperlink>
      <w:r>
        <w:rPr>
          <w:rFonts w:ascii="Times New Roman" w:hAnsi="Times New Roman"/>
          <w:b w:val="false"/>
          <w:i w:val="false"/>
          <w:color w:val="000000"/>
          <w:sz w:val="22"/>
        </w:rPr>
        <w:t>(17A,89A).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875—69.15</w:t>
      </w:r>
      <w:r>
        <w:rPr>
          <w:rFonts w:ascii="Times New Roman" w:hAnsi="Times New Roman"/>
          <w:b/>
          <w:i w:val="false"/>
          <w:color w:val="000000"/>
          <w:sz w:val="22"/>
        </w:rPr>
        <w:t xml:space="preserve">(17A,89A) </w:t>
      </w:r>
      <w:r>
        <w:rPr>
          <w:rFonts w:ascii="Times New Roman" w:hAnsi="Times New Roman"/>
          <w:b/>
          <w:i w:val="false"/>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party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875—69.16</w:t>
      </w:r>
      <w:r>
        <w:rPr>
          <w:rFonts w:ascii="Times New Roman" w:hAnsi="Times New Roman"/>
          <w:b/>
          <w:i w:val="false"/>
          <w:color w:val="000000"/>
          <w:sz w:val="22"/>
        </w:rPr>
        <w:t xml:space="preserve">(17A,89A)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discovery procedures applicable in civil actions are applicable in contested cases. Unless lengthened or shortened by these rules or by order of the presiding officer, time periods for compliance with discovery are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69.16(2)</w:t>
      </w:r>
      <w:r>
        <w:rPr>
          <w:rFonts w:ascii="Times New Roman" w:hAnsi="Times New Roman"/>
          <w:b w:val="false"/>
          <w:i w:val="false"/>
          <w:color w:val="000000"/>
          <w:sz w:val="22"/>
        </w:rPr>
        <w:t> </w:t>
      </w:r>
      <w:r>
        <w:rPr>
          <w:rFonts w:ascii="Times New Roman" w:hAnsi="Times New Roman"/>
          <w:b w:val="false"/>
          <w:i w:val="false"/>
          <w:color w:val="000000"/>
          <w:sz w:val="22"/>
        </w:rPr>
        <w:t>Any motion relating to discovery shall allege that the moving party has previously made a good-faith attempt to resolve with the opposing party the discovery issues involved. Motions in regard to discovery are ruled upon by the presiding officer. Opposing parties shall be afforded the opportunity to respond within ten days of the filing of the motion unless the time is shortened by order of the presiding officer. The presiding officer may rule on the basis of the written motion and any response or may order argument on the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875—69.17</w:t>
      </w:r>
      <w:r>
        <w:rPr>
          <w:rFonts w:ascii="Times New Roman" w:hAnsi="Times New Roman"/>
          <w:b/>
          <w:i w:val="false"/>
          <w:color w:val="000000"/>
          <w:sz w:val="22"/>
        </w:rPr>
        <w:t xml:space="preserve">(17A,89A) </w:t>
      </w:r>
      <w:r>
        <w:rPr>
          <w:rFonts w:ascii="Times New Roman" w:hAnsi="Times New Roman"/>
          <w:b/>
          <w:i w:val="false"/>
          <w:color w:val="000000"/>
          <w:sz w:val="22"/>
        </w:rPr>
        <w:t xml:space="preserve">Subpoenas in a contested case. </w:t>
      </w:r>
      <w:r>
        <w:rPr>
          <w:rFonts w:ascii="Times New Roman" w:hAnsi="Times New Roman"/>
          <w:b w:val="false"/>
          <w:i w:val="false"/>
          <w:color w:val="000000"/>
          <w:sz w:val="22"/>
        </w:rPr>
        <w:t xml:space="preserve">Pursuant to Iowa Code section </w:t>
      </w:r>
      <w:hyperlink r:id="rId17">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the board or the presiding officer acting on behalf of the board has the authority to issue subpoenas to compel the attendance of witnesses at depositions or hearings and to compel the production of professional records, books, papers, correspondence and other records that are deemed necessary as evidence in connection with a contested case. A subpoena issued in a contested case under the board’s authority may seek evidence whether or not privileged or confidential under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69.17(1)</w:t>
      </w:r>
      <w:r>
        <w:rPr>
          <w:rFonts w:ascii="Times New Roman" w:hAnsi="Times New Roman"/>
          <w:b w:val="false"/>
          <w:i w:val="false"/>
          <w:color w:val="000000"/>
          <w:sz w:val="22"/>
        </w:rPr>
        <w:t> </w:t>
      </w:r>
      <w:r>
        <w:rPr>
          <w:rFonts w:ascii="Times New Roman" w:hAnsi="Times New Roman"/>
          <w:b w:val="false"/>
          <w:i w:val="false"/>
          <w:color w:val="000000"/>
          <w:sz w:val="22"/>
        </w:rPr>
        <w:t>Upon the written request of a party, the presiding officer shall issue a subpoena to compel the attendance of witnesses or to obtain evidence that is deemed necessary in connection with a contested case. A command to produce evidence may be joined with a command to appear at deposition or hearing or may be issued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mail or otherwise provide copies of all subpoenas to the parties to the contested case.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chairperson shall request an administrative law judge to hold a hearing and issue a decision. Oral argument may be scheduled at the discretion of the board or the administrative law judge. The administrative law judge may quash or modify the subpoena or deny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69.17(7)</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board, either in person or by certified mail, a notice of appeal within ten days after service of the decision of the administrative law judge. If the decision of the administrative law judge to quash or modify the subpoena or to deny the motion to quash or modify the subpoena is appealed to the board, the board may uphold or overturn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party whose appeal is the subject of the contested case, the board’s decision is final for purposes of judicial review. If the person contesting the subpoena is the party whose appeal is the subject of the contested case, the board’s decision is not final for purposes of judicial review until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875—69.18</w:t>
      </w:r>
      <w:r>
        <w:rPr>
          <w:rFonts w:ascii="Times New Roman" w:hAnsi="Times New Roman"/>
          <w:b/>
          <w:i w:val="false"/>
          <w:color w:val="000000"/>
          <w:sz w:val="22"/>
        </w:rPr>
        <w:t xml:space="preserve">(17A,89A)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board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board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69.18(5)</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shall comply with the requirements of the Iowa Rules of Civil Procedure and are subject to disposition according to its requirements to the extent such requirements are not inconsistent with the provisions of this rule or any other provision of law governing the procedure in contested cases. Motions for summary judgment are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rule </w:t>
      </w:r>
      <w:hyperlink r:id="rId18">
        <w:r>
          <w:rPr>
            <w:rStyle w:val="Hyperlink"/>
            <w:rFonts w:ascii="Times New Roman" w:hAnsi="Times New Roman"/>
            <w:b w:val="false"/>
            <w:i w:val="false"/>
            <w:color w:val="000000"/>
            <w:sz w:val="22"/>
          </w:rPr>
          <w:t>875—69.29</w:t>
        </w:r>
      </w:hyperlink>
      <w:r>
        <w:rPr>
          <w:rFonts w:ascii="Times New Roman" w:hAnsi="Times New Roman"/>
          <w:b w:val="false"/>
          <w:i w:val="false"/>
          <w:color w:val="000000"/>
          <w:sz w:val="22"/>
        </w:rPr>
        <w:t xml:space="preserve">(89A) and appeal pursuant to subrule </w:t>
      </w:r>
      <w:r>
        <w:rPr>
          <w:rFonts w:ascii="Times New Roman" w:hAnsi="Times New Roman"/>
          <w:b w:val="false"/>
          <w:i w:val="false"/>
          <w:color w:val="000000"/>
          <w:sz w:val="22"/>
        </w:rPr>
        <w:t>69.27(3)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875—69.19</w:t>
      </w:r>
      <w:r>
        <w:rPr>
          <w:rFonts w:ascii="Times New Roman" w:hAnsi="Times New Roman"/>
          <w:b/>
          <w:i w:val="false"/>
          <w:color w:val="000000"/>
          <w:sz w:val="22"/>
        </w:rPr>
        <w:t xml:space="preserve">(17A,89A) </w:t>
      </w:r>
      <w:r>
        <w:rPr>
          <w:rFonts w:ascii="Times New Roman" w:hAnsi="Times New Roman"/>
          <w:b/>
          <w:i w:val="false"/>
          <w:color w:val="000000"/>
          <w:sz w:val="22"/>
        </w:rPr>
        <w:t xml:space="preserve">Settlements. </w:t>
      </w:r>
      <w:r>
        <w:rPr>
          <w:rFonts w:ascii="Times New Roman" w:hAnsi="Times New Roman"/>
          <w:b w:val="false"/>
          <w:i w:val="false"/>
          <w:color w:val="000000"/>
          <w:sz w:val="22"/>
        </w:rPr>
        <w:t>A contested case may be resolved by informal settlement, and settlements are encouraged. Settlement negotiations may be initiated at any stage of a contested case by any party. All settlements are subject to approval by a majority of the board. No settlement shall be presented to the board for approval except in final, written form executed by the parties. If the board fails to approve the settlement, the settlement will be of no force or effect to either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875—69.20</w:t>
      </w:r>
      <w:r>
        <w:rPr>
          <w:rFonts w:ascii="Times New Roman" w:hAnsi="Times New Roman"/>
          <w:b/>
          <w:i w:val="false"/>
          <w:color w:val="000000"/>
          <w:sz w:val="22"/>
        </w:rPr>
        <w:t xml:space="preserve">(17A,89A)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 Written notice of the prehearing conference shall be given by the presiding officer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69.20(2)</w:t>
      </w:r>
      <w:r>
        <w:rPr>
          <w:rFonts w:ascii="Times New Roman" w:hAnsi="Times New Roman"/>
          <w:b w:val="false"/>
          <w:i w:val="false"/>
          <w:color w:val="000000"/>
          <w:sz w:val="22"/>
        </w:rPr>
        <w:t> </w:t>
      </w:r>
      <w:r>
        <w:rPr>
          <w:rFonts w:ascii="Times New Roman" w:hAnsi="Times New Roman"/>
          <w:b w:val="false"/>
          <w:i w:val="false"/>
          <w:color w:val="000000"/>
          <w:sz w:val="22"/>
        </w:rPr>
        <w:t>Each party brings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that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r>
        <w:rPr>
          <w:rFonts w:ascii="Times New Roman" w:hAnsi="Times New Roman"/>
          <w:b w:val="false"/>
          <w:i w:val="false"/>
          <w:color w:val="000000"/>
          <w:sz w:val="22"/>
        </w:rPr>
        <w:t>69.20(2)</w:t>
      </w:r>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will be conducted by telephone unless otherwise ordered. Parties shall exchange and receive witness and exhibit lists in advance of a telephone prehearing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875—69.21</w:t>
      </w:r>
      <w:r>
        <w:rPr>
          <w:rFonts w:ascii="Times New Roman" w:hAnsi="Times New Roman"/>
          <w:b/>
          <w:i w:val="false"/>
          <w:color w:val="000000"/>
          <w:sz w:val="22"/>
        </w:rPr>
        <w:t xml:space="preserve">(17A,89A)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are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presiding officer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875—69.22</w:t>
      </w:r>
      <w:r>
        <w:rPr>
          <w:rFonts w:ascii="Times New Roman" w:hAnsi="Times New Roman"/>
          <w:b/>
          <w:i w:val="false"/>
          <w:color w:val="000000"/>
          <w:sz w:val="22"/>
        </w:rPr>
        <w:t xml:space="preserve">(17A,89A)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Unless otherwise provided, a withdrawal is with prejudice.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875—69.23</w:t>
      </w:r>
      <w:r>
        <w:rPr>
          <w:rFonts w:ascii="Times New Roman" w:hAnsi="Times New Roman"/>
          <w:b/>
          <w:i w:val="false"/>
          <w:color w:val="000000"/>
          <w:sz w:val="22"/>
        </w:rPr>
        <w:t xml:space="preserve">(17A,89A)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the authority to administer oaths, to admit or exclude testimony or other evidence, and to rule on all motions and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Any party may be represented by an attorney at the party’s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maintains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will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will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will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the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enter a default judgment against a party who fails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the right to question a witness. Examination of witnesses by the presiding officer is subject to properly raised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69.23(9)</w:t>
      </w:r>
      <w:r>
        <w:rPr>
          <w:rFonts w:ascii="Times New Roman" w:hAnsi="Times New Roman"/>
          <w:b w:val="false"/>
          <w:i w:val="false"/>
          <w:color w:val="000000"/>
          <w:sz w:val="22"/>
        </w:rPr>
        <w:t> </w:t>
      </w:r>
      <w:r>
        <w:rPr>
          <w:rFonts w:ascii="Times New Roman" w:hAnsi="Times New Roman"/>
          <w:b w:val="false"/>
          <w:i w:val="false"/>
          <w:color w:val="000000"/>
          <w:sz w:val="22"/>
        </w:rPr>
        <w:t>The hearing will be open to the public, except as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69.23(10)</w:t>
      </w:r>
      <w:r>
        <w:rPr>
          <w:rFonts w:ascii="Times New Roman" w:hAnsi="Times New Roman"/>
          <w:b w:val="false"/>
          <w:i w:val="false"/>
          <w:color w:val="000000"/>
          <w:sz w:val="22"/>
        </w:rPr>
        <w:t> </w:t>
      </w:r>
      <w:r>
        <w:rPr>
          <w:rFonts w:ascii="Times New Roman" w:hAnsi="Times New Roman"/>
          <w:b w:val="false"/>
          <w:i w:val="false"/>
          <w:color w:val="000000"/>
          <w:sz w:val="22"/>
        </w:rPr>
        <w:t>Oral proceedings shall be electronically recorded. Upon request, the board shall provide a copy of the whole or any portion of the audio recording at a reasonable cost. A certified shorthand reporter may be engaged to record the proceeding at the request of a party and at the expense of the party making the request. A transcription of the record of the hearing shall be made at the request of either party at the expense of the party making the request. The parties may agree to divide the cost of the transcription. A record of the proceedings, which may be either the original recording, a copy, or a transcript, shall be retained by the board for five years after the resolution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69.23(11)</w:t>
      </w:r>
      <w:r>
        <w:rPr>
          <w:rFonts w:ascii="Times New Roman" w:hAnsi="Times New Roman"/>
          <w:b w:val="false"/>
          <w:i w:val="false"/>
          <w:color w:val="000000"/>
          <w:sz w:val="22"/>
        </w:rPr>
        <w:t> </w:t>
      </w:r>
      <w:r>
        <w:rPr>
          <w:rFonts w:ascii="Times New Roman" w:hAnsi="Times New Roman"/>
          <w:b w:val="false"/>
          <w:i w:val="false"/>
          <w:color w:val="000000"/>
          <w:sz w:val="22"/>
        </w:rPr>
        <w:t>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continuance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board action unless, within 15 days after the date of notification or mailing of the decision, a motion to vacate is filed and served on all parties or an appeal of a decision on the merits is timely initiated within the time provided by subrule </w:t>
      </w:r>
      <w:r>
        <w:rPr>
          <w:rFonts w:ascii="Times New Roman" w:hAnsi="Times New Roman"/>
          <w:b w:val="false"/>
          <w:i w:val="false"/>
          <w:color w:val="000000"/>
          <w:sz w:val="22"/>
        </w:rPr>
        <w:t>69.27(3)</w:t>
      </w:r>
      <w:r>
        <w:rPr>
          <w:rFonts w:ascii="Times New Roman" w:hAnsi="Times New Roman"/>
          <w:b w:val="false"/>
          <w:i w:val="false"/>
          <w:color w:val="000000"/>
          <w:sz w:val="22"/>
        </w:rPr>
        <w:t>. A motion to vacate must state all facts relied upon by the moving party that establish good cause existed for that party’s failure to appear or participate at the contested case proceeding. Each fact must be substantiated by at least one attached, sworn affidavit of a person with personal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are granted only for good cause shown. The burden of proof as to good cause is on the moving party. Adverse parties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has the same meaning as “good cause” for setting aside a default judgment under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decision denying a motion to vacate is subject to further appeal within the time limit allowed for further appeal of a decision on the merits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will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875—69.24</w:t>
      </w:r>
      <w:r>
        <w:rPr>
          <w:rFonts w:ascii="Times New Roman" w:hAnsi="Times New Roman"/>
          <w:b/>
          <w:i w:val="false"/>
          <w:color w:val="000000"/>
          <w:sz w:val="22"/>
        </w:rPr>
        <w:t xml:space="preserve">(17A,89A)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rules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contested issues as identified in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875—69.25</w:t>
      </w:r>
      <w:r>
        <w:rPr>
          <w:rFonts w:ascii="Times New Roman" w:hAnsi="Times New Roman"/>
          <w:b/>
          <w:i w:val="false"/>
          <w:color w:val="000000"/>
          <w:sz w:val="22"/>
        </w:rPr>
        <w:t xml:space="preserve">(17A,89A)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69.25(1)</w:t>
      </w:r>
      <w:r>
        <w:rPr>
          <w:rFonts w:ascii="Times New Roman" w:hAnsi="Times New Roman"/>
          <w:b w:val="false"/>
          <w:i w:val="false"/>
          <w:color w:val="000000"/>
          <w:sz w:val="22"/>
        </w:rPr>
        <w:t> </w:t>
      </w:r>
      <w:r>
        <w:rPr>
          <w:rFonts w:ascii="Times New Roman" w:hAnsi="Times New Roman"/>
          <w:b w:val="false"/>
          <w:i w:val="false"/>
          <w:color w:val="000000"/>
          <w:sz w:val="22"/>
        </w:rPr>
        <w:t>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Nothing in this rule is intended to preclude board members from communicating with other board members or members of the board staff, other than those with a personal interest in, or those engaged in personally investigating,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69.25(4)</w:t>
      </w:r>
      <w:r>
        <w:rPr>
          <w:rFonts w:ascii="Times New Roman" w:hAnsi="Times New Roman"/>
          <w:b w:val="false"/>
          <w:i w:val="false"/>
          <w:color w:val="000000"/>
          <w:sz w:val="22"/>
        </w:rPr>
        <w:t> </w:t>
      </w:r>
      <w:r>
        <w:rPr>
          <w:rFonts w:ascii="Times New Roman" w:hAnsi="Times New Roman"/>
          <w:b w:val="false"/>
          <w:i w:val="false"/>
          <w:color w:val="000000"/>
          <w:sz w:val="22"/>
        </w:rPr>
        <w:t>To avoid prohibited ex parte communications, notice must be given in a manner reasonably calculated to give all parties a fair opportunity to participate. Notice of written communications shall be provided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69.25(6)</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warranted, the following shall be submitted for inclusion in the record under seal by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any prohibited written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written responses to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summary stating the substance of any prohibited oral or other communication not available in written form and all responses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identity of each person from whom the presiding officer received a prohibited ex parte communication;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69.25(7)</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19">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Violation of ex parte communication prohibitions by staff shall be reported to the board and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875—69.26</w:t>
      </w:r>
      <w:r>
        <w:rPr>
          <w:rFonts w:ascii="Times New Roman" w:hAnsi="Times New Roman"/>
          <w:b/>
          <w:i w:val="false"/>
          <w:color w:val="000000"/>
          <w:sz w:val="22"/>
        </w:rPr>
        <w:t xml:space="preserve">(17A,89A) </w:t>
      </w:r>
      <w:r>
        <w:rPr>
          <w:rFonts w:ascii="Times New Roman" w:hAnsi="Times New Roman"/>
          <w:b/>
          <w:i w:val="false"/>
          <w:color w:val="000000"/>
          <w:sz w:val="22"/>
        </w:rPr>
        <w:t xml:space="preserve">Interlocutory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69.26(1)</w:t>
      </w:r>
      <w:r>
        <w:rPr>
          <w:rFonts w:ascii="Times New Roman" w:hAnsi="Times New Roman"/>
          <w:b w:val="false"/>
          <w:i w:val="false"/>
          <w:color w:val="000000"/>
          <w:sz w:val="22"/>
        </w:rPr>
        <w:t> </w:t>
      </w:r>
      <w:r>
        <w:rPr>
          <w:rFonts w:ascii="Times New Roman" w:hAnsi="Times New Roman"/>
          <w:b w:val="false"/>
          <w:i w:val="false"/>
          <w:color w:val="000000"/>
          <w:sz w:val="22"/>
        </w:rPr>
        <w:t>Upon written request of a party or on its own motion, the board may review an interlocutory order of the administrative law judge. In determining whether to do so, the board shall weigh the extent to which its granting the interlocutory appeal would expedite final resolution of the case and the extent to which review of the interlocutory order at the time of the issuance of a final decision would provide an adequate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69.26(2)</w:t>
      </w:r>
      <w:r>
        <w:rPr>
          <w:rFonts w:ascii="Times New Roman" w:hAnsi="Times New Roman"/>
          <w:b w:val="false"/>
          <w:i w:val="false"/>
          <w:color w:val="000000"/>
          <w:sz w:val="22"/>
        </w:rPr>
        <w:t> </w:t>
      </w:r>
      <w:r>
        <w:rPr>
          <w:rFonts w:ascii="Times New Roman" w:hAnsi="Times New Roman"/>
          <w:b w:val="false"/>
          <w:i w:val="false"/>
          <w:color w:val="000000"/>
          <w:sz w:val="22"/>
        </w:rPr>
        <w:t>Any request for interlocutory review under this rule must be filed within 14 days of issuance of the challenged order, but no later than the date for compliance with the order or the date of hearing,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69.26(3)</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does not apply to the ruling of an administrative law judge after hearing on a motion to quash or modify a subpoena. The procedures for challenging such a ruling are set forth in subrule </w:t>
      </w:r>
      <w:r>
        <w:rPr>
          <w:rFonts w:ascii="Times New Roman" w:hAnsi="Times New Roman"/>
          <w:b w:val="false"/>
          <w:i w:val="false"/>
          <w:color w:val="000000"/>
          <w:sz w:val="22"/>
        </w:rPr>
        <w:t>69.17(7)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875—69.27</w:t>
      </w:r>
      <w:r>
        <w:rPr>
          <w:rFonts w:ascii="Times New Roman" w:hAnsi="Times New Roman"/>
          <w:b/>
          <w:i w:val="false"/>
          <w:color w:val="000000"/>
          <w:sz w:val="22"/>
        </w:rPr>
        <w:t xml:space="preserve">(17A,89A)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69.27(1)</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Decisions issued by a panel of less than a quorum of the board or by an administrative law judge are proposed decisions. A proposed decision issued by a panel of the board or an administrative law judge becomes a final decision if not timely appealed by any party or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69.27(2)</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When a quorum of the board presides over the reception of evidence at the hearing, the decision is a final decision. A copy of the final decision and order shall immediately be sent by certified mail to the appellant’s last-known post office address or may be served as in the manner of original notices. Copies shall be mailed by interoffice mail or first-class mail to the counsel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69.27(3)</w:t>
      </w:r>
      <w:r>
        <w:rPr>
          <w:rFonts w:ascii="Times New Roman" w:hAnsi="Times New Roman"/>
          <w:b w:val="false"/>
          <w:i w:val="false"/>
          <w:color w:val="000000"/>
          <w:sz w:val="22"/>
        </w:rPr>
        <w:t> </w:t>
      </w:r>
      <w:r>
        <w:rPr>
          <w:rFonts w:ascii="Times New Roman" w:hAnsi="Times New Roman"/>
          <w:b w:val="false"/>
          <w:i/>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board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board.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board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board may resolve the appeal on the briefs or provide an opportunity for oral argument. The board may shorten or extend the briefing period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The record on appeal or review will be the entire record made before the hearing panel or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875—69.28</w:t>
      </w:r>
      <w:r>
        <w:rPr>
          <w:rFonts w:ascii="Times New Roman" w:hAnsi="Times New Roman"/>
          <w:b/>
          <w:i w:val="false"/>
          <w:color w:val="000000"/>
          <w:sz w:val="22"/>
        </w:rPr>
        <w:t xml:space="preserve">(17A,89A) </w:t>
      </w:r>
      <w:r>
        <w:rPr>
          <w:rFonts w:ascii="Times New Roman" w:hAnsi="Times New Roman"/>
          <w:b/>
          <w:i w:val="false"/>
          <w:color w:val="000000"/>
          <w:sz w:val="22"/>
        </w:rPr>
        <w:t xml:space="preserve">Contested cases with no factual disputes.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875—69.29</w:t>
      </w:r>
      <w:r>
        <w:rPr>
          <w:rFonts w:ascii="Times New Roman" w:hAnsi="Times New Roman"/>
          <w:b/>
          <w:i w:val="false"/>
          <w:color w:val="000000"/>
          <w:sz w:val="22"/>
        </w:rPr>
        <w:t xml:space="preserve">(17A,89A)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for rehearing shall state on whose behalf it is filed, the specific grounds for rehearing, and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The board may meet telephonically to consider an application for rehearing. Any application for a rehearing shall be deemed denied unless the board grants the application within 20 days after its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875—69.30</w:t>
      </w:r>
      <w:r>
        <w:rPr>
          <w:rFonts w:ascii="Times New Roman" w:hAnsi="Times New Roman"/>
          <w:b/>
          <w:i w:val="false"/>
          <w:color w:val="000000"/>
          <w:sz w:val="22"/>
        </w:rPr>
        <w:t xml:space="preserve">(17A,89A) </w:t>
      </w:r>
      <w:r>
        <w:rPr>
          <w:rFonts w:ascii="Times New Roman" w:hAnsi="Times New Roman"/>
          <w:b/>
          <w:i w:val="false"/>
          <w:color w:val="000000"/>
          <w:sz w:val="22"/>
        </w:rPr>
        <w:t xml:space="preserve">Stays of board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The petition shall be filed with the notice of appeal and state the reasons justifying a stay or other temporary remedy. The board may rule on the stay or authorize the administrative law judge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board shall consider the factors listed in Iowa Code section </w:t>
      </w:r>
      <w:hyperlink r:id="rId20">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board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875—69.31</w:t>
      </w:r>
      <w:r>
        <w:rPr>
          <w:rFonts w:ascii="Times New Roman" w:hAnsi="Times New Roman"/>
          <w:b/>
          <w:i w:val="false"/>
          <w:color w:val="000000"/>
          <w:sz w:val="22"/>
        </w:rPr>
        <w:t xml:space="preserve">(17A,89A)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may be sought in accordance with the terms of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ARC 8621B</w:t>
      </w:r>
      <w:r>
        <w:rPr>
          <w:rFonts w:ascii="Times New Roman" w:hAnsi="Times New Roman"/>
          <w:b w:val="false"/>
          <w:i w:val="false"/>
          <w:color w:val="000000"/>
          <w:sz w:val="21"/>
        </w:rPr>
        <w:t xml:space="preserve"> (Notice ARC 8322B, IAB 12/2/09)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0168C</w:t>
      </w:r>
      <w:r>
        <w:rPr>
          <w:rFonts w:ascii="Times New Roman" w:hAnsi="Times New Roman"/>
          <w:b w:val="false"/>
          <w:i w:val="false"/>
          <w:color w:val="000000"/>
          <w:sz w:val="21"/>
        </w:rPr>
        <w:t xml:space="preserve"> (Notice ARC 0011C, IAB 2/22/12)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8772C</w:t>
      </w:r>
      <w:r>
        <w:rPr>
          <w:rFonts w:ascii="Times New Roman" w:hAnsi="Times New Roman"/>
          <w:b w:val="false"/>
          <w:i w:val="false"/>
          <w:color w:val="000000"/>
          <w:sz w:val="21"/>
        </w:rPr>
        <w:t xml:space="preserve"> (Notice ARC 8321C,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875.66.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ac/rule/875.69.4.pdf" Type="http://schemas.openxmlformats.org/officeDocument/2006/relationships/hyperlink" Id="rId6"/>
    <Relationship TargetMode="External" Target="https://www.legis.iowa.gov/docs/iac/rule/875.69.31.pdf" Type="http://schemas.openxmlformats.org/officeDocument/2006/relationships/hyperlink" Id="rId7"/>
    <Relationship TargetMode="External" Target="https://www.legis.iowa.gov/docs/iac/rule/875.69.26.pdf" Type="http://schemas.openxmlformats.org/officeDocument/2006/relationships/hyperlink" Id="rId8"/>
    <Relationship TargetMode="External" Target="https://www.legis.iowa.gov/docs/iac/rule/875.69.27.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4.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ac/rule/875.69.26.pdf" Type="http://schemas.openxmlformats.org/officeDocument/2006/relationships/hyperlink" Id="rId14"/>
    <Relationship TargetMode="External" Target="https://www.legis.iowa.gov/docs/iac/rule/875.69.30.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ac/rule/875.69.29.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89A.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