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WAIVERS FROM ADMINISTRATIVE RULES BY THE ELEVATOR SAFETY BOARD</w:t>
      </w:r>
    </w:p>
    <w:p>
      <w:pPr>
        <w:spacing w:before="0" w:after="0"/>
        <w:ind w:left="120"/>
        <w:jc w:val="both"/>
      </w:pPr>
      <w:r>
        <w:rPr>
          <w:rFonts w:ascii="Times New Roman" w:hAnsi="Times New Roman"/>
          <w:b/>
          <w:i w:val="false"/>
          <w:color w:val="000000"/>
          <w:sz w:val="22"/>
        </w:rPr>
        <w:t>875—66.1</w:t>
      </w:r>
      <w:r>
        <w:rPr>
          <w:rFonts w:ascii="Times New Roman" w:hAnsi="Times New Roman"/>
          <w:b/>
          <w:i w:val="false"/>
          <w:color w:val="000000"/>
          <w:sz w:val="22"/>
        </w:rPr>
        <w:t xml:space="preserve">(17A,89A)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In response to a petition completed pursuant to this chapter, the board may, in its sole discretion, issue an order waiving, in whole or in part, the requirements of a rule as applied to an identified person on the basis of the particular circumstances of that person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66.1(5)</w:t>
      </w:r>
      <w:r>
        <w:rPr>
          <w:rFonts w:ascii="Times New Roman" w:hAnsi="Times New Roman"/>
          <w:b w:val="false"/>
          <w:i w:val="false"/>
          <w:color w:val="000000"/>
          <w:sz w:val="22"/>
        </w:rPr>
        <w:t> </w:t>
      </w:r>
      <w:r>
        <w:rPr>
          <w:rFonts w:ascii="Times New Roman" w:hAnsi="Times New Roman"/>
          <w:b w:val="false"/>
          <w:i w:val="false"/>
          <w:color w:val="000000"/>
          <w:sz w:val="22"/>
        </w:rPr>
        <w:t>There is a reasonable relationship between the age of the conveyance and the waiver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875—66.2</w:t>
      </w:r>
      <w:r>
        <w:rPr>
          <w:rFonts w:ascii="Times New Roman" w:hAnsi="Times New Roman"/>
          <w:b/>
          <w:i w:val="false"/>
          <w:color w:val="000000"/>
          <w:sz w:val="22"/>
        </w:rPr>
        <w:t xml:space="preserve">(17A,89A)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with a caption containing the name of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A petition should be sent to the Elevator Safety Board, Department of Inspections, Appeals, and Licensing, 6200 Park Avenue, Suite 100, Des Moines, Iowa 50321. The petitioner shall submit the petition and all related materials for consideration at least three weeks prior to a scheduled board meeting for board review of the petition at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875—66.3</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The required form for a petition for waiver is available on the department’s website. A petition for waiver includes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being requested;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val="false"/>
          <w:color w:val="000000"/>
          <w:sz w:val="22"/>
        </w:rPr>
        <w:t>A description of and citation to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five criteria described in rule </w:t>
      </w:r>
      <w:hyperlink r:id="rId4">
        <w:r>
          <w:rPr>
            <w:rStyle w:val="Hyperlink"/>
            <w:rFonts w:ascii="Times New Roman" w:hAnsi="Times New Roman"/>
            <w:b w:val="false"/>
            <w:i w:val="false"/>
            <w:color w:val="000000"/>
            <w:sz w:val="22"/>
          </w:rPr>
          <w:t>875—66.1</w:t>
        </w:r>
      </w:hyperlink>
      <w:r>
        <w:rPr>
          <w:rFonts w:ascii="Times New Roman" w:hAnsi="Times New Roman"/>
          <w:b w:val="false"/>
          <w:i w:val="false"/>
          <w:color w:val="000000"/>
          <w:sz w:val="22"/>
        </w:rPr>
        <w:t>(17A,89A).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other departments or agencies of the state of Iowa, or political subdivisions and the petitioner relating to the conveyance affected by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entity or person who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66.3(8)</w:t>
      </w:r>
      <w:r>
        <w:rPr>
          <w:rFonts w:ascii="Times New Roman" w:hAnsi="Times New Roman"/>
          <w:b w:val="false"/>
          <w:i w:val="false"/>
          <w:color w:val="000000"/>
          <w:sz w:val="22"/>
        </w:rPr>
        <w:t> </w:t>
      </w:r>
      <w:r>
        <w:rPr>
          <w:rFonts w:ascii="Times New Roman" w:hAnsi="Times New Roman"/>
          <w:b w:val="false"/>
          <w:i w:val="false"/>
          <w:color w:val="000000"/>
          <w:sz w:val="22"/>
        </w:rPr>
        <w:t>The state identification number of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66.3(9)</w:t>
      </w:r>
      <w:r>
        <w:rPr>
          <w:rFonts w:ascii="Times New Roman" w:hAnsi="Times New Roman"/>
          <w:b w:val="false"/>
          <w:i w:val="false"/>
          <w:color w:val="000000"/>
          <w:sz w:val="22"/>
        </w:rPr>
        <w:t> </w:t>
      </w:r>
      <w:r>
        <w:rPr>
          <w:rFonts w:ascii="Times New Roman" w:hAnsi="Times New Roman"/>
          <w:b w:val="false"/>
          <w:i w:val="false"/>
          <w:color w:val="000000"/>
          <w:sz w:val="22"/>
        </w:rPr>
        <w:t>The age of the conveyance.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875—66.4</w:t>
      </w:r>
      <w:r>
        <w:rPr>
          <w:rFonts w:ascii="Times New Roman" w:hAnsi="Times New Roman"/>
          <w:b/>
          <w:i w:val="false"/>
          <w:color w:val="000000"/>
          <w:sz w:val="22"/>
        </w:rPr>
        <w:t xml:space="preserve">(17A,89A) </w:t>
      </w:r>
      <w:r>
        <w:rPr>
          <w:rFonts w:ascii="Times New Roman" w:hAnsi="Times New Roman"/>
          <w:b/>
          <w:i w:val="false"/>
          <w:color w:val="000000"/>
          <w:sz w:val="22"/>
        </w:rPr>
        <w:t xml:space="preserve">Waiver form. </w:t>
      </w:r>
      <w:r>
        <w:rPr>
          <w:rFonts w:ascii="Times New Roman" w:hAnsi="Times New Roman"/>
          <w:b w:val="false"/>
          <w:i w:val="false"/>
          <w:color w:val="000000"/>
          <w:sz w:val="22"/>
        </w:rPr>
        <w:t>Waiver applicants shall use the board’s petition for waiver form.  The board may request additional information from the petitioner.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875—66.5</w:t>
      </w:r>
      <w:r>
        <w:rPr>
          <w:rFonts w:ascii="Times New Roman" w:hAnsi="Times New Roman"/>
          <w:b/>
          <w:i w:val="false"/>
          <w:color w:val="000000"/>
          <w:sz w:val="22"/>
        </w:rPr>
        <w:t xml:space="preserve">(17A,89A)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within ten days of its receipt. The board shall ensure that notice of the pending petition has been provided to all persons to whom notice is required by any provision of law within 30 days of the receipt of the petition. In addition, the board may give notice to other persons. To accomplish this notice provision, the board may require the petitioner to serve the notice on all persons to whom notice is required by any provision of law and to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875—66.6</w:t>
      </w:r>
      <w:r>
        <w:rPr>
          <w:rFonts w:ascii="Times New Roman" w:hAnsi="Times New Roman"/>
          <w:b/>
          <w:i w:val="false"/>
          <w:color w:val="000000"/>
          <w:sz w:val="22"/>
        </w:rPr>
        <w:t xml:space="preserve">(17A,89A)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66.6(1)</w:t>
      </w:r>
      <w:r>
        <w:rPr>
          <w:rFonts w:ascii="Times New Roman" w:hAnsi="Times New Roman"/>
          <w:b w:val="false"/>
          <w:i w:val="false"/>
          <w:color w:val="000000"/>
          <w:sz w:val="22"/>
        </w:rPr>
        <w:t> </w:t>
      </w:r>
      <w:r>
        <w:rPr>
          <w:rFonts w:ascii="Times New Roman" w:hAnsi="Times New Roman"/>
          <w:b w:val="false"/>
          <w:i w:val="false"/>
          <w:color w:val="000000"/>
          <w:sz w:val="22"/>
        </w:rPr>
        <w:t>Petitions for waiver will normally be heard at the next scheduled board meeting following timely submission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66.6(2)</w:t>
      </w:r>
      <w:r>
        <w:rPr>
          <w:rFonts w:ascii="Times New Roman" w:hAnsi="Times New Roman"/>
          <w:b w:val="false"/>
          <w:i w:val="false"/>
          <w:color w:val="000000"/>
          <w:sz w:val="22"/>
        </w:rPr>
        <w:t> </w:t>
      </w:r>
      <w:r>
        <w:rPr>
          <w:rFonts w:ascii="Times New Roman" w:hAnsi="Times New Roman"/>
          <w:b w:val="false"/>
          <w:i w:val="false"/>
          <w:color w:val="000000"/>
          <w:sz w:val="22"/>
        </w:rPr>
        <w:t>The petitioner will be provided a reasonable opportunity to make a presentation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875—66.7</w:t>
      </w:r>
      <w:r>
        <w:rPr>
          <w:rFonts w:ascii="Times New Roman" w:hAnsi="Times New Roman"/>
          <w:b/>
          <w:i w:val="false"/>
          <w:color w:val="000000"/>
          <w:sz w:val="22"/>
        </w:rPr>
        <w:t xml:space="preserve">(17A,89A)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5">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apply to any petition for a waiver filed within a contested case and otherwise apply to board proceedings for a waiver only when the board so provides by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875—66.8</w:t>
      </w:r>
      <w:r>
        <w:rPr>
          <w:rFonts w:ascii="Times New Roman" w:hAnsi="Times New Roman"/>
          <w:b/>
          <w:i w:val="false"/>
          <w:color w:val="000000"/>
          <w:sz w:val="22"/>
        </w:rPr>
        <w:t xml:space="preserve">(17A,89A)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contain a reference to the particular person or legal entity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66.8(1)</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66.8(2)</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on a waiver any condition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66.8(5)</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will grant or deny a petition for a waiver as soon as practical but, in any event,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14 days of the ruling, any order issued under this rule shall be transmitted or delivered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66.8(9)</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machine room corresponding to the conveyance. The order or a copy of the order granting a waiver that relates to a conveyance that does not have a machine room shall be posted in a protective sleeve attached to the inside of the controller cabinet door corresponding to the conveyance.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875—66.9</w:t>
      </w:r>
      <w:r>
        <w:rPr>
          <w:rFonts w:ascii="Times New Roman" w:hAnsi="Times New Roman"/>
          <w:b/>
          <w:i w:val="false"/>
          <w:color w:val="000000"/>
          <w:sz w:val="22"/>
        </w:rPr>
        <w:t xml:space="preserve">(17A,89A)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875—66.10</w:t>
      </w:r>
      <w:r>
        <w:rPr>
          <w:rFonts w:ascii="Times New Roman" w:hAnsi="Times New Roman"/>
          <w:b/>
          <w:i w:val="false"/>
          <w:color w:val="000000"/>
          <w:sz w:val="22"/>
        </w:rPr>
        <w:t xml:space="preserve">(17A,89A) </w:t>
      </w:r>
      <w:r>
        <w:rPr>
          <w:rFonts w:ascii="Times New Roman" w:hAnsi="Times New Roman"/>
          <w:b/>
          <w:i w:val="false"/>
          <w:color w:val="000000"/>
          <w:sz w:val="22"/>
        </w:rPr>
        <w:t xml:space="preserve">Summary reports. </w:t>
      </w:r>
      <w:r>
        <w:rPr>
          <w:rFonts w:ascii="Times New Roman" w:hAnsi="Times New Roman"/>
          <w:b w:val="false"/>
          <w:i w:val="false"/>
          <w:color w:val="000000"/>
          <w:sz w:val="22"/>
        </w:rPr>
        <w:t>Information about all orders granting or denying a waiver petition shall be submitted by the board staff to the legislative services agency within 60 days of granting or denying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875—66.11</w:t>
      </w:r>
      <w:r>
        <w:rPr>
          <w:rFonts w:ascii="Times New Roman" w:hAnsi="Times New Roman"/>
          <w:b/>
          <w:i w:val="false"/>
          <w:color w:val="000000"/>
          <w:sz w:val="22"/>
        </w:rPr>
        <w:t xml:space="preserve">(17A,89A)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review,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875—66.12</w:t>
      </w:r>
      <w:r>
        <w:rPr>
          <w:rFonts w:ascii="Times New Roman" w:hAnsi="Times New Roman"/>
          <w:b/>
          <w:i w:val="false"/>
          <w:color w:val="000000"/>
          <w:sz w:val="22"/>
        </w:rPr>
        <w:t xml:space="preserve">(17A,89A)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will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875—66.13</w:t>
      </w:r>
      <w:r>
        <w:rPr>
          <w:rFonts w:ascii="Times New Roman" w:hAnsi="Times New Roman"/>
          <w:b/>
          <w:i w:val="false"/>
          <w:color w:val="000000"/>
          <w:sz w:val="22"/>
        </w:rPr>
        <w:t xml:space="preserve">(17A,89A)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to grant or deny a waiver petition may be taken in accordance with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1/25/08, Notice 11/7/07—published 2/13/08, effective 3/19/08]</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8770C</w:t>
      </w:r>
      <w:r>
        <w:rPr>
          <w:rFonts w:ascii="Times New Roman" w:hAnsi="Times New Roman"/>
          <w:b w:val="false"/>
          <w:i w:val="false"/>
          <w:color w:val="000000"/>
          <w:sz w:val="21"/>
        </w:rPr>
        <w:t xml:space="preserve"> (Notice ARC 8320C,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66.1.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89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