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36</w:t>
      </w:r>
    </w:p>
    <w:p>
      <w:pPr>
        <w:spacing w:before="0" w:after="0"/>
        <w:ind w:left="120"/>
        <w:jc w:val="center"/>
      </w:pPr>
      <w:r>
        <w:rPr>
          <w:rFonts w:ascii="Times New Roman" w:hAnsi="Times New Roman"/>
          <w:b w:val="false"/>
          <w:i w:val="false"/>
          <w:color w:val="000000"/>
          <w:sz w:val="21"/>
        </w:rPr>
        <w:t>WAGE DISCRIMINATION</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10/21/98, see 347—Ch 36]</w:t>
      </w:r>
    </w:p>
    <w:p>
      <w:pPr>
        <w:spacing w:before="0" w:after="0"/>
        <w:ind w:left="120"/>
        <w:jc w:val="both"/>
      </w:pPr>
      <w:r>
        <w:rPr>
          <w:rFonts w:ascii="Times New Roman" w:hAnsi="Times New Roman"/>
          <w:b/>
          <w:i w:val="false"/>
          <w:color w:val="000000"/>
          <w:sz w:val="22"/>
        </w:rPr>
        <w:t>875—36.1</w:t>
      </w:r>
      <w:r>
        <w:rPr>
          <w:rFonts w:ascii="Times New Roman" w:hAnsi="Times New Roman"/>
          <w:b/>
          <w:i w:val="false"/>
          <w:color w:val="000000"/>
          <w:sz w:val="22"/>
        </w:rPr>
        <w:t xml:space="preserve">(91A)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inspections, appeals, and licensing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“The Act” </w:t>
      </w:r>
      <w:r>
        <w:rPr>
          <w:rFonts w:ascii="Times New Roman" w:hAnsi="Times New Roman"/>
          <w:b w:val="false"/>
          <w:i w:val="false"/>
          <w:color w:val="000000"/>
          <w:sz w:val="22"/>
        </w:rPr>
        <w:t xml:space="preserve">means Iowa Code chapter </w:t>
      </w:r>
      <w:hyperlink r:id="rId4">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875—36.2</w:t>
      </w:r>
      <w:r>
        <w:rPr>
          <w:rFonts w:ascii="Times New Roman" w:hAnsi="Times New Roman"/>
          <w:b/>
          <w:i w:val="false"/>
          <w:color w:val="000000"/>
          <w:sz w:val="22"/>
        </w:rPr>
        <w:t xml:space="preserve">(91A) </w:t>
      </w:r>
      <w:r>
        <w:rPr>
          <w:rFonts w:ascii="Times New Roman" w:hAnsi="Times New Roman"/>
          <w:b/>
          <w:i w:val="false"/>
          <w:color w:val="000000"/>
          <w:sz w:val="22"/>
        </w:rPr>
        <w:t xml:space="preserve">General requirements. </w:t>
      </w:r>
      <w:r>
        <w:rPr>
          <w:rFonts w:ascii="Times New Roman" w:hAnsi="Times New Roman"/>
          <w:b w:val="false"/>
          <w:i w:val="false"/>
          <w:color w:val="000000"/>
          <w:sz w:val="22"/>
        </w:rPr>
        <w:t>An employer shall not discharge or in any manner discriminate against any employee because the employee has: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Filed any complaint under or related to the Act;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Assigned a wage claim to the director;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Instituted or caused to be instituted any proceeding under or related to the Act;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Cooperated in bringing any action against an employer under or related to the Act;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Exercised on the employee’s behalf or on behalf of others any right afforded by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875—36.3</w:t>
      </w:r>
      <w:r>
        <w:rPr>
          <w:rFonts w:ascii="Times New Roman" w:hAnsi="Times New Roman"/>
          <w:b/>
          <w:i w:val="false"/>
          <w:color w:val="000000"/>
          <w:sz w:val="22"/>
        </w:rPr>
        <w:t xml:space="preserve">(91A) </w:t>
      </w:r>
      <w:r>
        <w:rPr>
          <w:rFonts w:ascii="Times New Roman" w:hAnsi="Times New Roman"/>
          <w:b/>
          <w:i w:val="false"/>
          <w:color w:val="000000"/>
          <w:sz w:val="22"/>
        </w:rPr>
        <w:t xml:space="preserve">Unprotected activities distinguished.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36.3(1)</w:t>
      </w:r>
      <w:r>
        <w:rPr>
          <w:rFonts w:ascii="Times New Roman" w:hAnsi="Times New Roman"/>
          <w:b w:val="false"/>
          <w:i w:val="false"/>
          <w:color w:val="000000"/>
          <w:sz w:val="22"/>
        </w:rPr>
        <w:t> </w:t>
      </w:r>
      <w:r>
        <w:rPr>
          <w:rFonts w:ascii="Times New Roman" w:hAnsi="Times New Roman"/>
          <w:b w:val="false"/>
          <w:i w:val="false"/>
          <w:color w:val="000000"/>
          <w:sz w:val="22"/>
        </w:rPr>
        <w:t>Wage discrimination occurs when an employer engages in adverse action because the employee engaged in a protected activity. An employee’s engagement in activities protected by the Act does not automatically render the employee immune from adverse action dictated by nonprohibited considerations.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36.3(2)</w:t>
      </w:r>
      <w:r>
        <w:rPr>
          <w:rFonts w:ascii="Times New Roman" w:hAnsi="Times New Roman"/>
          <w:b w:val="false"/>
          <w:i w:val="false"/>
          <w:color w:val="000000"/>
          <w:sz w:val="22"/>
        </w:rPr>
        <w:t> </w:t>
      </w:r>
      <w:r>
        <w:rPr>
          <w:rFonts w:ascii="Times New Roman" w:hAnsi="Times New Roman"/>
          <w:b w:val="false"/>
          <w:i w:val="false"/>
          <w:color w:val="000000"/>
          <w:sz w:val="22"/>
        </w:rPr>
        <w:t>A violation exists if the protected activity was a substantial reason for the action, or if the discharge or other adverse action would not have taken place “but for” engagement in the protected activity.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875—36.4</w:t>
      </w:r>
      <w:r>
        <w:rPr>
          <w:rFonts w:ascii="Times New Roman" w:hAnsi="Times New Roman"/>
          <w:b/>
          <w:i w:val="false"/>
          <w:color w:val="000000"/>
          <w:sz w:val="22"/>
        </w:rPr>
        <w:t xml:space="preserve">(91A) </w:t>
      </w:r>
      <w:r>
        <w:rPr>
          <w:rFonts w:ascii="Times New Roman" w:hAnsi="Times New Roman"/>
          <w:b/>
          <w:i w:val="false"/>
          <w:color w:val="000000"/>
          <w:sz w:val="22"/>
        </w:rPr>
        <w:t xml:space="preserve">Complaint under or related to the Act. </w:t>
      </w:r>
      <w:r>
        <w:rPr>
          <w:rFonts w:ascii="Times New Roman" w:hAnsi="Times New Roman"/>
          <w:b w:val="false"/>
          <w:i w:val="false"/>
          <w:color w:val="000000"/>
          <w:sz w:val="22"/>
        </w:rPr>
        <w:t>Discharge or discriminatory actions to an employee because the employee has filed a wage claim or asserted in good faith rights covered by the Act are prohibited.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875—36.5</w:t>
      </w:r>
      <w:r>
        <w:rPr>
          <w:rFonts w:ascii="Times New Roman" w:hAnsi="Times New Roman"/>
          <w:b/>
          <w:i w:val="false"/>
          <w:color w:val="000000"/>
          <w:sz w:val="22"/>
        </w:rPr>
        <w:t xml:space="preserve">(91A) </w:t>
      </w:r>
      <w:r>
        <w:rPr>
          <w:rFonts w:ascii="Times New Roman" w:hAnsi="Times New Roman"/>
          <w:b/>
          <w:i w:val="false"/>
          <w:color w:val="000000"/>
          <w:sz w:val="22"/>
        </w:rPr>
        <w:t xml:space="preserve">Proceedings related to the Act. </w:t>
      </w:r>
      <w:r>
        <w:rPr>
          <w:rFonts w:ascii="Times New Roman" w:hAnsi="Times New Roman"/>
          <w:b w:val="false"/>
          <w:i w:val="false"/>
          <w:color w:val="000000"/>
          <w:sz w:val="22"/>
        </w:rPr>
        <w:t>Discharge of or discrimination against any employee because the employee has cooperated in bringing any action against an employer related to the Act is prohibited. Protection under the Act would extend to any statements given in the course of judicial, quasi-judicial, and administrative proceedings, including inspections, investigations, or adjudicative functions.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875—36.6</w:t>
      </w:r>
      <w:r>
        <w:rPr>
          <w:rFonts w:ascii="Times New Roman" w:hAnsi="Times New Roman"/>
          <w:b/>
          <w:i w:val="false"/>
          <w:color w:val="000000"/>
          <w:sz w:val="22"/>
        </w:rPr>
        <w:t xml:space="preserve">(91A) </w:t>
      </w:r>
      <w:r>
        <w:rPr>
          <w:rFonts w:ascii="Times New Roman" w:hAnsi="Times New Roman"/>
          <w:b/>
          <w:i w:val="false"/>
          <w:color w:val="000000"/>
          <w:sz w:val="22"/>
        </w:rPr>
        <w:t xml:space="preserve">Filing of complaint for discrimination or discharge.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36.6(1)</w:t>
      </w:r>
      <w:r>
        <w:rPr>
          <w:rFonts w:ascii="Times New Roman" w:hAnsi="Times New Roman"/>
          <w:b w:val="false"/>
          <w:i w:val="false"/>
          <w:color w:val="000000"/>
          <w:sz w:val="22"/>
        </w:rPr>
        <w:t> </w:t>
      </w:r>
      <w:r>
        <w:rPr>
          <w:rFonts w:ascii="Times New Roman" w:hAnsi="Times New Roman"/>
          <w:b w:val="false"/>
          <w:i w:val="false"/>
          <w:color w:val="000000"/>
          <w:sz w:val="22"/>
        </w:rPr>
        <w:t xml:space="preserve">Any employee who believes that discrimination in violation of Iowa Code section </w:t>
      </w:r>
      <w:hyperlink r:id="rId5">
        <w:r>
          <w:rPr>
            <w:rStyle w:val="Hyperlink"/>
            <w:rFonts w:ascii="Times New Roman" w:hAnsi="Times New Roman"/>
            <w:b w:val="false"/>
            <w:i w:val="false"/>
            <w:color w:val="000000"/>
            <w:sz w:val="22"/>
          </w:rPr>
          <w:t>91A.10(5)</w:t>
        </w:r>
      </w:hyperlink>
      <w:r>
        <w:rPr>
          <w:rFonts w:ascii="Times New Roman" w:hAnsi="Times New Roman"/>
          <w:b w:val="false"/>
          <w:i w:val="false"/>
          <w:color w:val="000000"/>
          <w:sz w:val="22"/>
        </w:rPr>
        <w:t xml:space="preserve"> has occurred may, within 30 days after the violation occurs, lodge a complaint with the director alleging the violation. No particular form is required. If, as a result of the investigation, the director determines that Iowa Code section </w:t>
      </w:r>
      <w:hyperlink r:id="rId6">
        <w:r>
          <w:rPr>
            <w:rStyle w:val="Hyperlink"/>
            <w:rFonts w:ascii="Times New Roman" w:hAnsi="Times New Roman"/>
            <w:b w:val="false"/>
            <w:i w:val="false"/>
            <w:color w:val="000000"/>
            <w:sz w:val="22"/>
          </w:rPr>
          <w:t>91A.10(5)</w:t>
        </w:r>
      </w:hyperlink>
      <w:r>
        <w:rPr>
          <w:rFonts w:ascii="Times New Roman" w:hAnsi="Times New Roman"/>
          <w:b w:val="false"/>
          <w:i w:val="false"/>
          <w:color w:val="000000"/>
          <w:sz w:val="22"/>
        </w:rPr>
        <w:t xml:space="preserve"> has been violated, civil action may be instituted in any appropriate district court to restrain the violations and to obtain other appropriate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36.6(2)</w:t>
      </w:r>
      <w:r>
        <w:rPr>
          <w:rFonts w:ascii="Times New Roman" w:hAnsi="Times New Roman"/>
          <w:b w:val="false"/>
          <w:i w:val="false"/>
          <w:color w:val="000000"/>
          <w:sz w:val="22"/>
        </w:rPr>
        <w:t> </w:t>
      </w:r>
      <w:r>
        <w:rPr>
          <w:rFonts w:ascii="Times New Roman" w:hAnsi="Times New Roman"/>
          <w:b w:val="false"/>
          <w:i w:val="false"/>
          <w:color w:val="000000"/>
          <w:sz w:val="22"/>
        </w:rPr>
        <w:t>Complaints not filed within 30 days of an alleged violation will ordinarily be presumed to be untimely. However, there may be circumstances that would justify tolling of the 30-day period on recognized equitable principles or because of strongly extenuating circumstances.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875—36.7</w:t>
      </w:r>
      <w:r>
        <w:rPr>
          <w:rFonts w:ascii="Times New Roman" w:hAnsi="Times New Roman"/>
          <w:b/>
          <w:i w:val="false"/>
          <w:color w:val="000000"/>
          <w:sz w:val="22"/>
        </w:rPr>
        <w:t xml:space="preserve">(91A) </w:t>
      </w:r>
      <w:r>
        <w:rPr>
          <w:rFonts w:ascii="Times New Roman" w:hAnsi="Times New Roman"/>
          <w:b/>
          <w:i w:val="false"/>
          <w:color w:val="000000"/>
          <w:sz w:val="22"/>
        </w:rPr>
        <w:t xml:space="preserve">Decision of the director.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w:t>
      </w:r>
      <w:r>
        <w:rPr>
          <w:rFonts w:ascii="Times New Roman" w:hAnsi="Times New Roman"/>
          <w:b w:val="false"/>
          <w:i w:val="false"/>
          <w:color w:val="000000"/>
          <w:sz w:val="22"/>
        </w:rPr>
        <w:t> </w:t>
      </w:r>
      <w:r>
        <w:rPr>
          <w:rFonts w:ascii="Times New Roman" w:hAnsi="Times New Roman"/>
          <w:b w:val="false"/>
          <w:i w:val="false"/>
          <w:color w:val="000000"/>
          <w:sz w:val="22"/>
        </w:rPr>
        <w:t>Upon receipt of all requested information, the director may determine the employee’s complaint alleging discharge or discrimination is enforceable and notify the employee of that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w:t>
      </w:r>
      <w:r>
        <w:rPr>
          <w:rFonts w:ascii="Times New Roman" w:hAnsi="Times New Roman"/>
          <w:b w:val="false"/>
          <w:i w:val="false"/>
          <w:color w:val="000000"/>
          <w:sz w:val="22"/>
        </w:rPr>
        <w:t> </w:t>
      </w:r>
      <w:r>
        <w:rPr>
          <w:rFonts w:ascii="Times New Roman" w:hAnsi="Times New Roman"/>
          <w:b w:val="false"/>
          <w:i w:val="false"/>
          <w:color w:val="000000"/>
          <w:sz w:val="22"/>
        </w:rPr>
        <w:t>Upon a determination that the employee’s complaint alleging discharge or discrimination is enforceable, the director will notify the employer of that determination in writing and afford the employer an opportunity to tender settlement within 14 days of the writing prior to initiating judicial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36.7(3)</w:t>
      </w:r>
      <w:r>
        <w:rPr>
          <w:rFonts w:ascii="Times New Roman" w:hAnsi="Times New Roman"/>
          <w:b w:val="false"/>
          <w:i w:val="false"/>
          <w:color w:val="000000"/>
          <w:sz w:val="22"/>
        </w:rPr>
        <w:t> </w:t>
      </w:r>
      <w:r>
        <w:rPr>
          <w:rFonts w:ascii="Times New Roman" w:hAnsi="Times New Roman"/>
          <w:b w:val="false"/>
          <w:i w:val="false"/>
          <w:color w:val="000000"/>
          <w:sz w:val="22"/>
        </w:rPr>
        <w:t>Upon a determination that the employee’s complaint alleging discharge or discrimination is unenforceable, the director shall notify the employee of that decision in writing. The employee shall have 14 days from the date of the written notification to appeal the decision to the director. If the appeal is not made in writing within the 14-day period, then the employee loses the right to appeal the unenforceable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91A.10(5)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8/9/85, Notice 2/27/85—published 8/28/85, effective 10/2/85]</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ARC 8682C</w:t>
      </w:r>
      <w:r>
        <w:rPr>
          <w:rFonts w:ascii="Times New Roman" w:hAnsi="Times New Roman"/>
          <w:b w:val="false"/>
          <w:i w:val="false"/>
          <w:color w:val="000000"/>
          <w:sz w:val="21"/>
        </w:rPr>
        <w:t xml:space="preserve"> (Notice ARC 8265C, IAB 10/30/24)</w:t>
      </w:r>
      <w:r>
        <w:rPr>
          <w:rFonts w:ascii="Times New Roman" w:hAnsi="Times New Roman"/>
          <w:b w:val="false"/>
          <w:i w:val="false"/>
          <w:color w:val="000000"/>
          <w:sz w:val="21"/>
        </w:rPr>
        <w:t>, IAB 12/25/24, effective 1/29/25]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1A.pdf" Type="http://schemas.openxmlformats.org/officeDocument/2006/relationships/hyperlink" Id="rId4"/>
    <Relationship TargetMode="External" Target="https://www.legis.iowa.gov/docs/ico/chapter/91A.pdf" Type="http://schemas.openxmlformats.org/officeDocument/2006/relationships/hyperlink" Id="rId5"/>
    <Relationship TargetMode="External" Target="https://www.legis.iowa.gov/docs/ico/chapter/91A.pdf" Type="http://schemas.openxmlformats.org/officeDocument/2006/relationships/hyperlink" Id="rId6"/>
    <Relationship TargetMode="External" Target="https://www.legis.iowa.gov/docs/ico/chapter/91A.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