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MINIMUM WAGE SCOPE AND COVERAGE</w:t>
      </w:r>
    </w:p>
    <w:p>
      <w:pPr>
        <w:spacing w:before="0" w:after="0"/>
        <w:ind w:left="120"/>
        <w:jc w:val="center"/>
      </w:pPr>
      <w:r>
        <w:rPr>
          <w:rFonts w:ascii="Times New Roman" w:hAnsi="Times New Roman"/>
          <w:b w:val="false"/>
          <w:i w:val="false"/>
          <w:color w:val="000000"/>
          <w:sz w:val="14"/>
        </w:rPr>
        <w:t>[Prior to 10/21/98, see 347—Ch 215]</w:t>
      </w:r>
    </w:p>
    <w:p>
      <w:pPr>
        <w:spacing w:before="0" w:after="0"/>
        <w:ind w:left="120"/>
        <w:jc w:val="both"/>
      </w:pPr>
      <w:r>
        <w:rPr>
          <w:rFonts w:ascii="Times New Roman" w:hAnsi="Times New Roman"/>
          <w:b/>
          <w:i w:val="false"/>
          <w:color w:val="000000"/>
          <w:sz w:val="22"/>
        </w:rPr>
        <w:t>875—215.1</w:t>
      </w:r>
      <w:r>
        <w:rPr>
          <w:rFonts w:ascii="Times New Roman" w:hAnsi="Times New Roman"/>
          <w:b/>
          <w:i w:val="false"/>
          <w:color w:val="000000"/>
          <w:sz w:val="22"/>
        </w:rPr>
        <w:t xml:space="preserve">(91D) </w:t>
      </w:r>
      <w:r>
        <w:rPr>
          <w:rFonts w:ascii="Times New Roman" w:hAnsi="Times New Roman"/>
          <w:b/>
          <w:i w:val="false"/>
          <w:color w:val="000000"/>
          <w:sz w:val="22"/>
        </w:rPr>
        <w:t xml:space="preserve">Initial employment wage 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90-calendar-day period set forth in Iowa Code section </w:t>
      </w:r>
      <w:hyperlink r:id="rId4">
        <w:r>
          <w:rPr>
            <w:rStyle w:val="Hyperlink"/>
            <w:rFonts w:ascii="Times New Roman" w:hAnsi="Times New Roman"/>
            <w:b w:val="false"/>
            <w:i w:val="false"/>
            <w:color w:val="000000"/>
            <w:sz w:val="22"/>
          </w:rPr>
          <w:t>91D.1(1)</w:t>
        </w:r>
      </w:hyperlink>
      <w:r>
        <w:rPr>
          <w:rFonts w:ascii="Times New Roman" w:hAnsi="Times New Roman"/>
          <w:b w:val="false"/>
          <w:i/>
          <w:color w:val="000000"/>
          <w:sz w:val="22"/>
        </w:rPr>
        <w:t>“d”</w:t>
      </w:r>
      <w:r>
        <w:rPr>
          <w:rFonts w:ascii="Times New Roman" w:hAnsi="Times New Roman"/>
          <w:b w:val="false"/>
          <w:i w:val="false"/>
          <w:color w:val="000000"/>
          <w:sz w:val="22"/>
        </w:rPr>
        <w:t xml:space="preserve"> is counted from the employee’s initial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val="false"/>
          <w:color w:val="000000"/>
          <w:sz w:val="22"/>
        </w:rPr>
        <w:t>If the state minimum initial employment wage rate changes during the 90-calendar-day period, the employer shall pay the new effective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val="false"/>
          <w:color w:val="000000"/>
          <w:sz w:val="22"/>
        </w:rPr>
        <w:t>If, after less than 90 calendar days from the initial day of work, the employee’s employment is terminated and the employee is rehired by the same employer within three years of the initial hiring, the initial employment wage rate in effect at rehiring may be paid until the 90-calendar-day employment period is reached. If, after 90 calendar days from the initial day of work, the employee’s employment is terminated and the employee is rehired in less than three years from the last date of employment, the employee shall not be employed at the initial employment wage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875—215.2</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w:t>
      </w:r>
      <w:hyperlink r:id="rId5">
        <w:r>
          <w:rPr>
            <w:rStyle w:val="Hyperlink"/>
            <w:rFonts w:ascii="Times New Roman" w:hAnsi="Times New Roman"/>
            <w:b w:val="false"/>
            <w:i w:val="false"/>
            <w:color w:val="000000"/>
            <w:sz w:val="22"/>
          </w:rPr>
          <w:t>875—Chapters 216 through 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“Agriculture” </w:t>
      </w:r>
      <w:r>
        <w:rPr>
          <w:rFonts w:ascii="Times New Roman" w:hAnsi="Times New Roman"/>
          <w:b w:val="false"/>
          <w:i w:val="false"/>
          <w:color w:val="000000"/>
          <w:sz w:val="22"/>
        </w:rPr>
        <w:t>includes farming in all its branches and among other things includes the cultivation and tillage of the soil; dairying; the production, cultivation, growing, and harvesting of any agricultural or horticultural commodities; the raising of livestock, bees, furbearing animals, or poultry; and any practices (including any forestry or lumbering operations) performed by a farmer or on a farm incident to or in conjunction with farming operations, including preparation for market, delivery to storage or to market or to carriers for transportation to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“Commerce” </w:t>
      </w:r>
      <w:r>
        <w:rPr>
          <w:rFonts w:ascii="Times New Roman" w:hAnsi="Times New Roman"/>
          <w:b w:val="false"/>
          <w:i w:val="false"/>
          <w:color w:val="000000"/>
          <w:sz w:val="22"/>
        </w:rPr>
        <w:t>means trade, commerce, transportation, transmission, or communication among the several states or between any state and any place outside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employed by an employer. In the case of an individual employed by a public agency, the term means any individual employed by the state, political subdivision of the state, or an interstate governmental agency, other than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not subject to the civil service laws of the state, political subdivision, or agency that employs the individual;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 public elective office of that state, political subdivision, or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selected by the holder of the office to be a member of the holder’s personal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appointed by the officeholder to serve on a policy-making level,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immediate adviser to the officeholder with respect to the constitutional or legal powers of the office,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employee in the legislative branch or legislative body of that state, political subdivision, or agency and is not employed by the legislative library of the state, political subdivision,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does not mean: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definition of “person-day,” any individual employed by an employer engaged in agriculture if the individual is the parent, spouse, child, or other member of the employer’s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individual who volunteers to perform services for a public agency that is the state, a political subdivision of the state, or an interstate government agency,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receives no compensation or is paid expenses, reasonable benefits, or a nominal fee to perform the services for which the individual volunteered;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are not the same type of services that the individual is employed to perform for the public agency.</w:t>
      </w:r>
    </w:p>
    <w:p>
      <w:pPr>
        <w:spacing w:before="0" w:after="0"/>
        <w:ind w:left="120"/>
        <w:jc w:val="both"/>
      </w:pPr>
      <w:r>
        <w:rPr>
          <w:rFonts w:ascii="Times New Roman" w:hAnsi="Times New Roman"/>
          <w:b w:val="false"/>
          <w:i w:val="false"/>
          <w:color w:val="000000"/>
          <w:sz w:val="22"/>
        </w:rPr>
        <w:t>However, an employee of a public agency that is the state, a political subdivision of the state, or an interstate governmental agency may volunteer to perform services for any other state, political subdivision, or interstate governmental agency, including a state, political subdivision or agency with which the employing state, political subdivision, or agency has a mutual aid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includes any person acting directly or indirectly in the interest of an employer in relation to an employee and includes a public agency but does not include any labor organization (other than when acting as an employer) or anyone acting in the capacity of officer or agent of the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the related activities performed (either through unified operation or common control) by any person or persons for a common business purpose, and includes all activities whether performed in one or more establishments or by one or more corporate or other organizational units including departments of an establishment operated through leasing arrangements. Any establishment that has as its only regular employees the owner thereof or the parent, spouse, child, or other member of the immediate family of the owner is considered to be an enterprise engaged in commerce or in the production of goods for commerce or a part of an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w:t>
      </w:r>
      <w:r>
        <w:rPr>
          <w:rFonts w:ascii="Times New Roman" w:hAnsi="Times New Roman"/>
          <w:b w:val="false"/>
          <w:i w:val="false"/>
          <w:color w:val="000000"/>
          <w:sz w:val="22"/>
        </w:rPr>
        <w:t>means a trade, business, industry, or other activity, or branch or group thereof, in which individuals are gainfully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or any organized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“Person-day” </w:t>
      </w:r>
      <w:r>
        <w:rPr>
          <w:rFonts w:ascii="Times New Roman" w:hAnsi="Times New Roman"/>
          <w:b w:val="false"/>
          <w:i w:val="false"/>
          <w:color w:val="000000"/>
          <w:sz w:val="22"/>
        </w:rPr>
        <w:t>means any day during which an employee performs any agricultural labor for not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“Produced” </w:t>
      </w:r>
      <w:r>
        <w:rPr>
          <w:rFonts w:ascii="Times New Roman" w:hAnsi="Times New Roman"/>
          <w:b w:val="false"/>
          <w:i w:val="false"/>
          <w:color w:val="000000"/>
          <w:sz w:val="22"/>
        </w:rPr>
        <w:t>means produced, manufactured, mined, handled, or in any other manner worked on in any state; and an employee is engaged in the production of goods if the employee is employed in producing, manufacturing, mining, handling, transporting, or in any other manner working on the goods, or in any closely related process or occupation directly essential to the production thereof,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government of the state of Iowa, its various departments and agencies, and any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“Resale” </w:t>
      </w:r>
      <w:r>
        <w:rPr>
          <w:rFonts w:ascii="Times New Roman" w:hAnsi="Times New Roman"/>
          <w:b w:val="false"/>
          <w:i w:val="false"/>
          <w:color w:val="000000"/>
          <w:sz w:val="22"/>
        </w:rPr>
        <w:t>does not include the sale of goods to be used in residential or farm building construction, repair, or maintenance, provided that the sale is recognized as a bona fide retail sale in the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includes any sale, exchange, contract to sell, consignment for sale, shipment for sale, or other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“Tipped employee” </w:t>
      </w:r>
      <w:r>
        <w:rPr>
          <w:rFonts w:ascii="Times New Roman" w:hAnsi="Times New Roman"/>
          <w:b w:val="false"/>
          <w:i w:val="false"/>
          <w:color w:val="000000"/>
          <w:sz w:val="22"/>
        </w:rPr>
        <w:t>means any employee engaged in an occupation in which the employee customarily received more than $30 a month in 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w:t>
      </w:r>
      <w:r>
        <w:rPr>
          <w:rFonts w:ascii="Times New Roman" w:hAnsi="Times New Roman"/>
          <w:b w:val="false"/>
          <w:i w:val="false"/>
          <w:color w:val="000000"/>
          <w:sz w:val="22"/>
        </w:rPr>
        <w:t xml:space="preserve">paid to any employee includes the reasonable cost, as determined by the director, to the employer of furnishing the employee with board, lodging, or other facilities. </w:t>
      </w: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875—215.3</w:t>
      </w:r>
      <w:r>
        <w:rPr>
          <w:rFonts w:ascii="Times New Roman" w:hAnsi="Times New Roman"/>
          <w:b/>
          <w:i w:val="false"/>
          <w:color w:val="000000"/>
          <w:sz w:val="22"/>
        </w:rPr>
        <w:t xml:space="preserve">(91D) </w:t>
      </w:r>
      <w:r>
        <w:rPr>
          <w:rFonts w:ascii="Times New Roman" w:hAnsi="Times New Roman"/>
          <w:b/>
          <w:i w:val="false"/>
          <w:color w:val="000000"/>
          <w:sz w:val="22"/>
        </w:rPr>
        <w:t xml:space="preserve">Exceptions. </w:t>
      </w:r>
      <w:r>
        <w:rPr>
          <w:rFonts w:ascii="Times New Roman" w:hAnsi="Times New Roman"/>
          <w:b w:val="false"/>
          <w:i w:val="false"/>
          <w:color w:val="000000"/>
          <w:sz w:val="22"/>
        </w:rPr>
        <w:t>The rules contained in 875—Chapters 216 through 220 do not apply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Any employee employed by an establishment that is an amusement or recreational establishment, organized camp, or religious or nonprofit education conference center,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does not operate for more than seven months in any calendar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preceding calendar year, its average receipts for any six months of such year were not more than 33 1/3 percent of its average receipts for the other six months of the year, except that the exemption provided does not apply with respect to any employee of a private entity engaged in providing services or facilities (other than a private entity engaged in providing services and facilities directly related to skiing) in a national park or a national forest or on land in the National Wildlife Refuge System, under a contract with the Secretary of the Interior or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Any employee employed in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 is employed by an employer who did not, during any calendar quarter during the preceding calendar year, use more than 500 person-days of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employee is the parent, spouse, child, or other member of the employer’s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employed as a hand harvest laborer and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Commutes daily from the employee’s permanent residence to the farm on which the employee is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employed in agriculture less than 13 weeks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(other than an employee described in paragraph </w:t>
      </w:r>
      <w:r>
        <w:rPr>
          <w:rFonts w:ascii="Times New Roman" w:hAnsi="Times New Roman"/>
          <w:b w:val="false"/>
          <w:i w:val="false"/>
          <w:color w:val="000000"/>
          <w:sz w:val="22"/>
        </w:rPr>
        <w:t>215.3(2)</w:t>
      </w:r>
      <w:r>
        <w:rPr>
          <w:rFonts w:ascii="Times New Roman" w:hAnsi="Times New Roman"/>
          <w:b w:val="false"/>
          <w:i/>
          <w:color w:val="000000"/>
          <w:sz w:val="22"/>
        </w:rPr>
        <w:t>“c”</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16 years of age or under, is employed as a hand harvest laborer,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employed on the same farm as the employee’s parent or person standing in the place of the employee’s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paid at the same piece rate as employees over age 16 are paid on the same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employee is principally engaged in the range production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215.3(3)</w:t>
      </w:r>
      <w:r>
        <w:rPr>
          <w:rFonts w:ascii="Times New Roman" w:hAnsi="Times New Roman"/>
          <w:b w:val="false"/>
          <w:i w:val="false"/>
          <w:color w:val="000000"/>
          <w:sz w:val="22"/>
        </w:rPr>
        <w:t> </w:t>
      </w:r>
      <w:r>
        <w:rPr>
          <w:rFonts w:ascii="Times New Roman" w:hAnsi="Times New Roman"/>
          <w:b w:val="false"/>
          <w:i w:val="false"/>
          <w:color w:val="000000"/>
          <w:sz w:val="22"/>
        </w:rPr>
        <w:t>Any employee employed on a casual basis in domestic service employment to provide babysitting services or any employee employed in domestic service employment to provide companionship services for individuals who (because of age or infirmity) are unable to care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215.3(4)</w:t>
      </w:r>
      <w:r>
        <w:rPr>
          <w:rFonts w:ascii="Times New Roman" w:hAnsi="Times New Roman"/>
          <w:b w:val="false"/>
          <w:i w:val="false"/>
          <w:color w:val="000000"/>
          <w:sz w:val="22"/>
        </w:rPr>
        <w:t> </w:t>
      </w:r>
      <w:r>
        <w:rPr>
          <w:rFonts w:ascii="Times New Roman" w:hAnsi="Times New Roman"/>
          <w:b w:val="false"/>
          <w:i w:val="false"/>
          <w:color w:val="000000"/>
          <w:sz w:val="22"/>
        </w:rPr>
        <w:t>Any employee to the extent that the employee is exempted by a certificate of the Secretary of Labor.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875—215.4</w:t>
      </w:r>
      <w:r>
        <w:rPr>
          <w:rFonts w:ascii="Times New Roman" w:hAnsi="Times New Roman"/>
          <w:b/>
          <w:i w:val="false"/>
          <w:color w:val="000000"/>
          <w:sz w:val="22"/>
        </w:rPr>
        <w:t xml:space="preserve">(91D) </w:t>
      </w:r>
      <w:r>
        <w:rPr>
          <w:rFonts w:ascii="Times New Roman" w:hAnsi="Times New Roman"/>
          <w:b/>
          <w:i w:val="false"/>
          <w:color w:val="000000"/>
          <w:sz w:val="22"/>
        </w:rPr>
        <w:t xml:space="preserve">Interpretative guidelines. </w:t>
      </w:r>
      <w:r>
        <w:rPr>
          <w:rFonts w:ascii="Times New Roman" w:hAnsi="Times New Roman"/>
          <w:b w:val="false"/>
          <w:i w:val="false"/>
          <w:color w:val="000000"/>
          <w:sz w:val="22"/>
        </w:rPr>
        <w:t xml:space="preserve">The rules contained in </w:t>
      </w:r>
      <w:hyperlink r:id="rId6">
        <w:r>
          <w:rPr>
            <w:rStyle w:val="Hyperlink"/>
            <w:rFonts w:ascii="Times New Roman" w:hAnsi="Times New Roman"/>
            <w:b w:val="false"/>
            <w:i w:val="false"/>
            <w:color w:val="000000"/>
            <w:sz w:val="22"/>
          </w:rPr>
          <w:t>875—Chapters 216 through 220</w:t>
        </w:r>
      </w:hyperlink>
      <w:r>
        <w:rPr>
          <w:rFonts w:ascii="Times New Roman" w:hAnsi="Times New Roman"/>
          <w:b w:val="false"/>
          <w:i w:val="false"/>
          <w:color w:val="000000"/>
          <w:sz w:val="22"/>
        </w:rPr>
        <w:t xml:space="preserve"> are based on the federal rules indicated at the end of each rule. The federal rules contained illustrative examples of the application of the rule. The examples are not adopted, but the commissioner will be guided in enforcement by the examples provided in the rules. The Secretary of Labor has adopted statements of general policy and interpretations not directly related to regulations at 29 CFR Parts 776, 779, 780, and 785. The commissioner will follow these statements and interpretations in the application and enforcement of Iowa Code chapter </w:t>
      </w:r>
      <w:hyperlink r:id="rId7">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emergency 4/16/07—published 5/9/07, effective 4/16/07]</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8747C</w:t>
      </w:r>
      <w:r>
        <w:rPr>
          <w:rFonts w:ascii="Times New Roman" w:hAnsi="Times New Roman"/>
          <w:b w:val="false"/>
          <w:i w:val="false"/>
          <w:color w:val="000000"/>
          <w:sz w:val="21"/>
        </w:rPr>
        <w:t xml:space="preserve"> (Notice ARC 8267C,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D.pdf" Type="http://schemas.openxmlformats.org/officeDocument/2006/relationships/hyperlink" Id="rId4"/>
    <Relationship TargetMode="External" Target="https://www.legis.iowa.gov/docs/iac/chapter/875.216-220.pdf" Type="http://schemas.openxmlformats.org/officeDocument/2006/relationships/hyperlink" Id="rId5"/>
    <Relationship TargetMode="External" Target="https://www.legis.iowa.gov/docs/iac/chapter/875.216-220.pdf" Type="http://schemas.openxmlformats.org/officeDocument/2006/relationships/hyperlink" Id="rId6"/>
    <Relationship TargetMode="External" Target="https://www.legis.iowa.gov/docs/ico/chapter/91D.pdf" Type="http://schemas.openxmlformats.org/officeDocument/2006/relationships/hyperlink" Id="rId7"/>
    <Relationship TargetMode="External" Target="https://www.legis.iowa.gov/docs/ico/chapter/91D.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