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176</w:t>
      </w:r>
    </w:p>
    <w:p>
      <w:pPr>
        <w:spacing w:before="0" w:after="0"/>
        <w:ind w:left="120"/>
        <w:jc w:val="center"/>
      </w:pPr>
      <w:r>
        <w:rPr>
          <w:rFonts w:ascii="Times New Roman" w:hAnsi="Times New Roman"/>
          <w:b w:val="false"/>
          <w:i w:val="false"/>
          <w:color w:val="000000"/>
          <w:sz w:val="21"/>
        </w:rPr>
        <w:t>PROFESSIONAL KICKBOXING</w:t>
      </w:r>
    </w:p>
    <w:p>
      <w:pPr>
        <w:spacing w:before="0" w:after="0"/>
        <w:ind w:left="120"/>
        <w:jc w:val="center"/>
      </w:pPr>
      <w:r>
        <w:rPr>
          <w:rFonts w:ascii="Times New Roman" w:hAnsi="Times New Roman"/>
          <w:b w:val="false"/>
          <w:i w:val="false"/>
          <w:color w:val="000000"/>
          <w:sz w:val="14"/>
        </w:rPr>
        <w:t>[Prior to 10/21/98, see 347—Ch 100]</w:t>
      </w:r>
    </w:p>
    <w:p>
      <w:pPr>
        <w:spacing w:before="0" w:after="0"/>
        <w:ind w:left="120"/>
        <w:jc w:val="center"/>
      </w:pPr>
      <w:r>
        <w:rPr>
          <w:rFonts w:ascii="Times New Roman" w:hAnsi="Times New Roman"/>
          <w:b w:val="false"/>
          <w:i w:val="false"/>
          <w:color w:val="000000"/>
          <w:sz w:val="14"/>
        </w:rPr>
        <w:t>[Prior to 8/16/06, see 875—Ch 100]</w:t>
      </w:r>
    </w:p>
    <w:p>
      <w:pPr>
        <w:spacing w:before="0" w:after="0"/>
        <w:ind w:left="120"/>
        <w:jc w:val="both"/>
      </w:pPr>
      <w:r>
        <w:rPr>
          <w:rFonts w:ascii="Times New Roman" w:hAnsi="Times New Roman"/>
          <w:b/>
          <w:i w:val="false"/>
          <w:color w:val="000000"/>
          <w:sz w:val="22"/>
        </w:rPr>
        <w:t>875—176.1</w:t>
      </w:r>
      <w:r>
        <w:rPr>
          <w:rFonts w:ascii="Times New Roman" w:hAnsi="Times New Roman"/>
          <w:b/>
          <w:i w:val="false"/>
          <w:color w:val="000000"/>
          <w:sz w:val="22"/>
        </w:rPr>
        <w:t xml:space="preserve">(90A) </w:t>
      </w:r>
      <w:r>
        <w:rPr>
          <w:rFonts w:ascii="Times New Roman" w:hAnsi="Times New Roman"/>
          <w:b/>
          <w:i w:val="false"/>
          <w:color w:val="000000"/>
          <w:sz w:val="22"/>
        </w:rPr>
        <w:t xml:space="preserve">Scope and purpose. </w:t>
      </w:r>
      <w:r>
        <w:rPr>
          <w:rFonts w:ascii="Times New Roman" w:hAnsi="Times New Roman"/>
          <w:b w:val="false"/>
          <w:i w:val="false"/>
          <w:color w:val="000000"/>
          <w:sz w:val="22"/>
        </w:rPr>
        <w:t xml:space="preserve">Professional kickboxing is a contest within the scope of Iowa Code chapter </w:t>
      </w:r>
      <w:hyperlink r:id="rId4">
        <w:r>
          <w:rPr>
            <w:rStyle w:val="Hyperlink"/>
            <w:rFonts w:ascii="Times New Roman" w:hAnsi="Times New Roman"/>
            <w:b w:val="false"/>
            <w:i w:val="false"/>
            <w:color w:val="000000"/>
            <w:sz w:val="22"/>
          </w:rPr>
          <w:t>90A</w:t>
        </w:r>
      </w:hyperlink>
      <w:r>
        <w:rPr>
          <w:rFonts w:ascii="Times New Roman" w:hAnsi="Times New Roman"/>
          <w:b w:val="false"/>
          <w:i w:val="false"/>
          <w:color w:val="000000"/>
          <w:sz w:val="22"/>
        </w:rPr>
        <w:t>. The commissioner shall have final decision-making authority concerning the enforcement, implementation, and interpretation of the rules in this chapter.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8842C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875—176.2</w:t>
      </w:r>
      <w:r>
        <w:rPr>
          <w:rFonts w:ascii="Times New Roman" w:hAnsi="Times New Roman"/>
          <w:b/>
          <w:i w:val="false"/>
          <w:color w:val="000000"/>
          <w:sz w:val="22"/>
        </w:rPr>
        <w:t xml:space="preserve">(90A) </w:t>
      </w:r>
      <w:r>
        <w:rPr>
          <w:rFonts w:ascii="Times New Roman" w:hAnsi="Times New Roman"/>
          <w:b/>
          <w:i w:val="false"/>
          <w:color w:val="000000"/>
          <w:sz w:val="22"/>
        </w:rPr>
        <w:t xml:space="preserve">GLORY rules adopted by reference. </w:t>
      </w:r>
      <w:r>
        <w:rPr>
          <w:rFonts w:ascii="Times New Roman" w:hAnsi="Times New Roman"/>
          <w:b w:val="false"/>
          <w:i w:val="false"/>
          <w:color w:val="000000"/>
          <w:sz w:val="22"/>
        </w:rPr>
        <w:t>The commissioner adopts by reference the kickboxing rules and regulations of GLORY Kickboxing as of January 1, 2023. The GLORY Kickboxing rules shall be used for all GLORY Kickboxing matches and events.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8842C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875—176.3</w:t>
      </w:r>
      <w:r>
        <w:rPr>
          <w:rFonts w:ascii="Times New Roman" w:hAnsi="Times New Roman"/>
          <w:b/>
          <w:i w:val="false"/>
          <w:color w:val="000000"/>
          <w:sz w:val="22"/>
        </w:rPr>
        <w:t xml:space="preserve">(90A) </w:t>
      </w:r>
      <w:r>
        <w:rPr>
          <w:rFonts w:ascii="Times New Roman" w:hAnsi="Times New Roman"/>
          <w:b/>
          <w:i w:val="false"/>
          <w:color w:val="000000"/>
          <w:sz w:val="22"/>
        </w:rPr>
        <w:t xml:space="preserve">Professional boxing rules followed. </w:t>
      </w:r>
      <w:r>
        <w:rPr>
          <w:rFonts w:ascii="Times New Roman" w:hAnsi="Times New Roman"/>
          <w:b w:val="false"/>
          <w:i w:val="false"/>
          <w:color w:val="000000"/>
          <w:sz w:val="22"/>
        </w:rPr>
        <w:t xml:space="preserve">Professional kickboxing will conform to the rules in </w:t>
      </w:r>
      <w:hyperlink r:id="rId5">
        <w:r>
          <w:rPr>
            <w:rStyle w:val="Hyperlink"/>
            <w:rFonts w:ascii="Times New Roman" w:hAnsi="Times New Roman"/>
            <w:b w:val="false"/>
            <w:i w:val="false"/>
            <w:color w:val="000000"/>
            <w:sz w:val="22"/>
          </w:rPr>
          <w:t>875—Chapter 173</w:t>
        </w:r>
      </w:hyperlink>
      <w:r>
        <w:rPr>
          <w:rFonts w:ascii="Times New Roman" w:hAnsi="Times New Roman"/>
          <w:b w:val="false"/>
          <w:i w:val="false"/>
          <w:color w:val="000000"/>
          <w:sz w:val="22"/>
        </w:rPr>
        <w:t xml:space="preserve"> on:</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Limitations on number of bouts;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Contestants’ arrival; and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Attendance of commissioner.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8842C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875—176.4</w:t>
      </w:r>
      <w:r>
        <w:rPr>
          <w:rFonts w:ascii="Times New Roman" w:hAnsi="Times New Roman"/>
          <w:b/>
          <w:i w:val="false"/>
          <w:color w:val="000000"/>
          <w:sz w:val="22"/>
        </w:rPr>
        <w:t xml:space="preserve">(90A) </w:t>
      </w:r>
      <w:r>
        <w:rPr>
          <w:rFonts w:ascii="Times New Roman" w:hAnsi="Times New Roman"/>
          <w:b/>
          <w:i w:val="false"/>
          <w:color w:val="000000"/>
          <w:sz w:val="22"/>
        </w:rPr>
        <w:t xml:space="preserve">Additional provisions.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176.4(1)</w:t>
      </w:r>
      <w:r>
        <w:rPr>
          <w:rFonts w:ascii="Times New Roman" w:hAnsi="Times New Roman"/>
          <w:b w:val="false"/>
          <w:i w:val="false"/>
          <w:color w:val="000000"/>
          <w:sz w:val="22"/>
        </w:rPr>
        <w:t> </w:t>
      </w:r>
      <w:r>
        <w:rPr>
          <w:rFonts w:ascii="Times New Roman" w:hAnsi="Times New Roman"/>
          <w:b w:val="false"/>
          <w:i w:val="false"/>
          <w:color w:val="000000"/>
          <w:sz w:val="22"/>
        </w:rPr>
        <w:t>Officials. The designation of officials, referees, physicians, physician assistants, timekeepers, judges, kick counters, scorekeepers, contestants, seconds, and managers is subject to the approval of the commissioner or designee.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176.4(2)</w:t>
      </w:r>
      <w:r>
        <w:rPr>
          <w:rFonts w:ascii="Times New Roman" w:hAnsi="Times New Roman"/>
          <w:b w:val="false"/>
          <w:i w:val="false"/>
          <w:color w:val="000000"/>
          <w:sz w:val="22"/>
        </w:rPr>
        <w:t> </w:t>
      </w:r>
      <w:r>
        <w:rPr>
          <w:rFonts w:ascii="Times New Roman" w:hAnsi="Times New Roman"/>
          <w:b w:val="false"/>
          <w:i w:val="false"/>
          <w:color w:val="000000"/>
          <w:sz w:val="22"/>
        </w:rPr>
        <w:t>“Battles royal” or bouts in which more than two kickboxing contestants are to appear in the ring at the same time shall not be approved.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8842C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6">
        <w:r>
          <w:rPr>
            <w:rStyle w:val="Hyperlink"/>
            <w:rFonts w:ascii="Times New Roman" w:hAnsi="Times New Roman"/>
            <w:b w:val="false"/>
            <w:i w:val="false"/>
            <w:color w:val="000000"/>
            <w:sz w:val="22"/>
          </w:rPr>
          <w:t>90A</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9/11/87—published 10/7/87, effective 9/11/87]</w:t>
      </w:r>
    </w:p>
    <w:p>
      <w:pPr>
        <w:spacing w:before="0" w:after="0"/>
        <w:ind w:left="120"/>
        <w:jc w:val="center"/>
      </w:pPr>
      <w:r>
        <w:rPr>
          <w:rFonts w:ascii="Times New Roman" w:hAnsi="Times New Roman"/>
          <w:b w:val="false"/>
          <w:i w:val="false"/>
          <w:color w:val="000000"/>
          <w:sz w:val="21"/>
        </w:rPr>
        <w:t>[Filed 12/11/87, Notice 10/7/87—published 12/30/87, effective 2/3/88]</w:t>
      </w:r>
    </w:p>
    <w:p>
      <w:pPr>
        <w:spacing w:before="0" w:after="0"/>
        <w:ind w:left="120"/>
        <w:jc w:val="center"/>
      </w:pPr>
      <w:r>
        <w:rPr>
          <w:rFonts w:ascii="Times New Roman" w:hAnsi="Times New Roman"/>
          <w:b w:val="false"/>
          <w:i w:val="false"/>
          <w:color w:val="000000"/>
          <w:sz w:val="21"/>
        </w:rPr>
        <w:t>[Filed 7/26/06, Notice 5/10/06—published 8/16/06, effective 9/20/06]</w:t>
      </w:r>
    </w:p>
    <w:p>
      <w:pPr>
        <w:spacing w:before="0" w:after="0"/>
        <w:ind w:left="120"/>
        <w:jc w:val="center"/>
      </w:pPr>
      <w:r>
        <w:rPr>
          <w:rFonts w:ascii="Times New Roman" w:hAnsi="Times New Roman"/>
          <w:b w:val="false"/>
          <w:i w:val="false"/>
          <w:color w:val="000000"/>
          <w:sz w:val="21"/>
        </w:rPr>
        <w:t>[Filed ARC 6760C</w:t>
      </w:r>
      <w:r>
        <w:rPr>
          <w:rFonts w:ascii="Times New Roman" w:hAnsi="Times New Roman"/>
          <w:b w:val="false"/>
          <w:i w:val="false"/>
          <w:color w:val="000000"/>
          <w:sz w:val="21"/>
        </w:rPr>
        <w:t xml:space="preserve"> (Notice ARC 6599C, IAB 10/19/22)</w:t>
      </w:r>
      <w:r>
        <w:rPr>
          <w:rFonts w:ascii="Times New Roman" w:hAnsi="Times New Roman"/>
          <w:b w:val="false"/>
          <w:i w:val="false"/>
          <w:color w:val="000000"/>
          <w:sz w:val="21"/>
        </w:rPr>
        <w:t>, IAB 12/28/22, effective 2/1/23]</w:t>
      </w:r>
    </w:p>
    <w:p>
      <w:pPr>
        <w:spacing w:before="0" w:after="0"/>
        <w:ind w:left="120"/>
        <w:jc w:val="center"/>
      </w:pPr>
      <w:r>
        <w:rPr>
          <w:rFonts w:ascii="Times New Roman" w:hAnsi="Times New Roman"/>
          <w:b w:val="false"/>
          <w:i w:val="false"/>
          <w:color w:val="000000"/>
          <w:sz w:val="21"/>
        </w:rPr>
        <w:t>[Filed ARC 6986C</w:t>
      </w:r>
      <w:r>
        <w:rPr>
          <w:rFonts w:ascii="Times New Roman" w:hAnsi="Times New Roman"/>
          <w:b w:val="false"/>
          <w:i w:val="false"/>
          <w:color w:val="000000"/>
          <w:sz w:val="21"/>
        </w:rPr>
        <w:t xml:space="preserve"> (Notice ARC 6771C, IAB 12/28/22)</w:t>
      </w:r>
      <w:r>
        <w:rPr>
          <w:rFonts w:ascii="Times New Roman" w:hAnsi="Times New Roman"/>
          <w:b w:val="false"/>
          <w:i w:val="false"/>
          <w:color w:val="000000"/>
          <w:sz w:val="21"/>
        </w:rPr>
        <w:t>, IAB 4/19/23, effective 5/24/23]</w:t>
      </w:r>
    </w:p>
    <w:p>
      <w:pPr>
        <w:spacing w:before="0" w:after="0"/>
        <w:ind w:left="120"/>
        <w:jc w:val="center"/>
      </w:pPr>
      <w:r>
        <w:rPr>
          <w:rFonts w:ascii="Times New Roman" w:hAnsi="Times New Roman"/>
          <w:b w:val="false"/>
          <w:i w:val="false"/>
          <w:color w:val="000000"/>
          <w:sz w:val="21"/>
        </w:rPr>
        <w:t>[Filed ARC 8842C</w:t>
      </w:r>
      <w:r>
        <w:rPr>
          <w:rFonts w:ascii="Times New Roman" w:hAnsi="Times New Roman"/>
          <w:b w:val="false"/>
          <w:i w:val="false"/>
          <w:color w:val="000000"/>
          <w:sz w:val="21"/>
        </w:rPr>
        <w:t xml:space="preserve"> (Notice ARC 8390C, IAB 11/27/24)</w:t>
      </w:r>
      <w:r>
        <w:rPr>
          <w:rFonts w:ascii="Times New Roman" w:hAnsi="Times New Roman"/>
          <w:b w:val="false"/>
          <w:i w:val="false"/>
          <w:color w:val="000000"/>
          <w:sz w:val="21"/>
        </w:rPr>
        <w:t>, IAB 1/22/25, effective 2/26/25]</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90A.pdf" Type="http://schemas.openxmlformats.org/officeDocument/2006/relationships/hyperlink" Id="rId4"/>
    <Relationship TargetMode="External" Target="https://www.legis.iowa.gov/docs/iac/chapter/875.173.pdf" Type="http://schemas.openxmlformats.org/officeDocument/2006/relationships/hyperlink" Id="rId5"/>
    <Relationship TargetMode="External" Target="https://www.legis.iowa.gov/docs/ico/chapter/90A.pdf" Type="http://schemas.openxmlformats.org/officeDocument/2006/relationships/hyperlink"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