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171</w:t>
      </w:r>
    </w:p>
    <w:p>
      <w:pPr>
        <w:spacing w:before="0" w:after="0"/>
        <w:ind w:left="120"/>
        <w:jc w:val="center"/>
      </w:pPr>
      <w:r>
        <w:rPr>
          <w:rFonts w:ascii="Times New Roman" w:hAnsi="Times New Roman"/>
          <w:b w:val="false"/>
          <w:i w:val="false"/>
          <w:color w:val="000000"/>
          <w:sz w:val="21"/>
        </w:rPr>
        <w:t>GRANT APPLICATIONS AND AWARDS</w:t>
      </w:r>
    </w:p>
    <w:p>
      <w:pPr>
        <w:spacing w:before="0" w:after="0"/>
        <w:ind w:left="120"/>
        <w:jc w:val="center"/>
      </w:pPr>
      <w:r>
        <w:rPr>
          <w:rFonts w:ascii="Times New Roman" w:hAnsi="Times New Roman"/>
          <w:b w:val="false"/>
          <w:i w:val="false"/>
          <w:color w:val="000000"/>
          <w:sz w:val="14"/>
        </w:rPr>
        <w:t>[Prior to 10/21/98, see 347—Ch 95]</w:t>
      </w:r>
    </w:p>
    <w:p>
      <w:pPr>
        <w:spacing w:before="0" w:after="0"/>
        <w:ind w:left="120"/>
        <w:jc w:val="center"/>
      </w:pPr>
      <w:r>
        <w:rPr>
          <w:rFonts w:ascii="Times New Roman" w:hAnsi="Times New Roman"/>
          <w:b w:val="false"/>
          <w:i w:val="false"/>
          <w:color w:val="000000"/>
          <w:sz w:val="14"/>
        </w:rPr>
        <w:t>[Prior to 8/16/06, see 875—Ch 95]</w:t>
      </w:r>
    </w:p>
    <w:p>
      <w:pPr>
        <w:spacing w:before="0" w:after="0"/>
        <w:ind w:left="120"/>
        <w:jc w:val="both"/>
      </w:pPr>
      <w:r>
        <w:rPr>
          <w:rFonts w:ascii="Times New Roman" w:hAnsi="Times New Roman"/>
          <w:b/>
          <w:i w:val="false"/>
          <w:color w:val="000000"/>
          <w:sz w:val="22"/>
        </w:rPr>
        <w:t>875—171.1</w:t>
      </w:r>
      <w:r>
        <w:rPr>
          <w:rFonts w:ascii="Times New Roman" w:hAnsi="Times New Roman"/>
          <w:b/>
          <w:i w:val="false"/>
          <w:color w:val="000000"/>
          <w:sz w:val="22"/>
        </w:rPr>
        <w:t xml:space="preserve">(90A)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establishes rules of the commissioner of athletics (commissioner) for the distribution of revenues collected from a professional boxing event pursuant to Iowa Code section </w:t>
      </w:r>
      <w:hyperlink r:id="rId4">
        <w:r>
          <w:rPr>
            <w:rStyle w:val="Hyperlink"/>
            <w:rFonts w:ascii="Times New Roman" w:hAnsi="Times New Roman"/>
            <w:b w:val="false"/>
            <w:i w:val="false"/>
            <w:color w:val="000000"/>
            <w:sz w:val="22"/>
          </w:rPr>
          <w:t>90A.9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875—171.2</w:t>
      </w:r>
      <w:r>
        <w:rPr>
          <w:rFonts w:ascii="Times New Roman" w:hAnsi="Times New Roman"/>
          <w:b/>
          <w:i w:val="false"/>
          <w:color w:val="000000"/>
          <w:sz w:val="22"/>
        </w:rPr>
        <w:t xml:space="preserve">(90A)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171.2(1)</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announce the opening of the application process by public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171.2(2)</w:t>
      </w:r>
      <w:r>
        <w:rPr>
          <w:rFonts w:ascii="Times New Roman" w:hAnsi="Times New Roman"/>
          <w:b w:val="false"/>
          <w:i w:val="false"/>
          <w:color w:val="000000"/>
          <w:sz w:val="22"/>
        </w:rPr>
        <w:t> </w:t>
      </w:r>
      <w:r>
        <w:rPr>
          <w:rFonts w:ascii="Times New Roman" w:hAnsi="Times New Roman"/>
          <w:b w:val="false"/>
          <w:i w:val="false"/>
          <w:color w:val="000000"/>
          <w:sz w:val="22"/>
        </w:rPr>
        <w:t>All amateur boxing organizations seeking grant funds must submit an application to the commissioner on forms provided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171.2(3)</w:t>
      </w:r>
      <w:r>
        <w:rPr>
          <w:rFonts w:ascii="Times New Roman" w:hAnsi="Times New Roman"/>
          <w:b w:val="false"/>
          <w:i w:val="false"/>
          <w:color w:val="000000"/>
          <w:sz w:val="22"/>
        </w:rPr>
        <w:t> </w:t>
      </w:r>
      <w:r>
        <w:rPr>
          <w:rFonts w:ascii="Times New Roman" w:hAnsi="Times New Roman"/>
          <w:b w:val="false"/>
          <w:i w:val="false"/>
          <w:color w:val="000000"/>
          <w:sz w:val="22"/>
        </w:rPr>
        <w:t>Contents. Each application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plan of action that details how the awarded funds will be spent and what results and benefits are expected. The action plan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Grant goals, objectives, timeliness, responsible individuals,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Establishing an end result that is beneficial to the sport of amateur boxing.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projected amateur boxing matches to be promoted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budget detailing how the grant funds will be expended.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Assurances the applicant will comply with the conditions and procedures for grant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plan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Assurances the funds will not be used to retire preexisting financial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Assurances the applicant will comply with the conditions for financial management.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875—171.3</w:t>
      </w:r>
      <w:r>
        <w:rPr>
          <w:rFonts w:ascii="Times New Roman" w:hAnsi="Times New Roman"/>
          <w:b/>
          <w:i w:val="false"/>
          <w:color w:val="000000"/>
          <w:sz w:val="22"/>
        </w:rPr>
        <w:t xml:space="preserve">(90A) </w:t>
      </w:r>
      <w:r>
        <w:rPr>
          <w:rFonts w:ascii="Times New Roman" w:hAnsi="Times New Roman"/>
          <w:b/>
          <w:i w:val="false"/>
          <w:color w:val="000000"/>
          <w:sz w:val="22"/>
        </w:rPr>
        <w:t xml:space="preserve">Grant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171.3(1)</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notify successful applicants and provide to each of them a contract for signature. This contract shall be signed by an official with authority to bind the applicant and be returned to the commissioner prior to the award of any funds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171.3(2)</w:t>
      </w:r>
      <w:r>
        <w:rPr>
          <w:rFonts w:ascii="Times New Roman" w:hAnsi="Times New Roman"/>
          <w:b w:val="false"/>
          <w:i w:val="false"/>
          <w:color w:val="000000"/>
          <w:sz w:val="22"/>
        </w:rPr>
        <w:t> </w:t>
      </w:r>
      <w:r>
        <w:rPr>
          <w:rFonts w:ascii="Times New Roman" w:hAnsi="Times New Roman"/>
          <w:b w:val="false"/>
          <w:i w:val="false"/>
          <w:color w:val="000000"/>
          <w:sz w:val="22"/>
        </w:rPr>
        <w:t>If the applicant and the commissioner are unable to successfully negotiate a contract, the commissioner may withdraw the award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171.3(3)</w:t>
      </w:r>
      <w:r>
        <w:rPr>
          <w:rFonts w:ascii="Times New Roman" w:hAnsi="Times New Roman"/>
          <w:b w:val="false"/>
          <w:i w:val="false"/>
          <w:color w:val="000000"/>
          <w:sz w:val="22"/>
        </w:rPr>
        <w:t> </w:t>
      </w:r>
      <w:r>
        <w:rPr>
          <w:rFonts w:ascii="Times New Roman" w:hAnsi="Times New Roman"/>
          <w:b w:val="false"/>
          <w:i w:val="false"/>
          <w:color w:val="000000"/>
          <w:sz w:val="22"/>
        </w:rPr>
        <w:t>Applications shall be received by May 1 of each calendar year for an award the following fiscal year. Payment will be processed within 60 days of a grant award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171.3(4)</w:t>
      </w:r>
      <w:r>
        <w:rPr>
          <w:rFonts w:ascii="Times New Roman" w:hAnsi="Times New Roman"/>
          <w:b w:val="false"/>
          <w:i w:val="false"/>
          <w:color w:val="000000"/>
          <w:sz w:val="22"/>
        </w:rPr>
        <w:t> </w:t>
      </w:r>
      <w:r>
        <w:rPr>
          <w:rFonts w:ascii="Times New Roman" w:hAnsi="Times New Roman"/>
          <w:b w:val="false"/>
          <w:i w:val="false"/>
          <w:color w:val="000000"/>
          <w:sz w:val="22"/>
        </w:rPr>
        <w:t>Grants are awarded for a 12-month period and may be renewed for a second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875—171.4</w:t>
      </w:r>
      <w:r>
        <w:rPr>
          <w:rFonts w:ascii="Times New Roman" w:hAnsi="Times New Roman"/>
          <w:b/>
          <w:i w:val="false"/>
          <w:color w:val="000000"/>
          <w:sz w:val="22"/>
        </w:rPr>
        <w:t xml:space="preserve">(90A) </w:t>
      </w:r>
      <w:r>
        <w:rPr>
          <w:rFonts w:ascii="Times New Roman" w:hAnsi="Times New Roman"/>
          <w:b/>
          <w:i w:val="false"/>
          <w:color w:val="000000"/>
          <w:sz w:val="22"/>
        </w:rPr>
        <w:t xml:space="preserve">Evaluation. </w:t>
      </w:r>
      <w:r>
        <w:rPr>
          <w:rFonts w:ascii="Times New Roman" w:hAnsi="Times New Roman"/>
          <w:b w:val="false"/>
          <w:i w:val="false"/>
          <w:color w:val="000000"/>
          <w:sz w:val="22"/>
        </w:rPr>
        <w:t>The grantee shall cooperate with the commissioner and periodically provide requested information to determine how the goals and objectives of the project are being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90A.7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10/10/91, Notice 8/7/91—published 10/30/91, effective 12/6/91]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8837C</w:t>
      </w:r>
      <w:r>
        <w:rPr>
          <w:rFonts w:ascii="Times New Roman" w:hAnsi="Times New Roman"/>
          <w:b w:val="false"/>
          <w:i w:val="false"/>
          <w:color w:val="000000"/>
          <w:sz w:val="21"/>
        </w:rPr>
        <w:t xml:space="preserve"> (Notice ARC 8387C, IAB 11/27/24)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0A.pdf" Type="http://schemas.openxmlformats.org/officeDocument/2006/relationships/hyperlink" Id="rId4"/>
    <Relationship TargetMode="External" Target="https://www.legis.iowa.gov/docs/ico/chapter/90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