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ATHLETICS COMMISSIONER</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169</w:t>
      </w:r>
    </w:p>
    <w:p>
      <w:pPr>
        <w:spacing w:before="0" w:after="0"/>
        <w:ind w:left="120"/>
        <w:jc w:val="center"/>
      </w:pPr>
      <w:r>
        <w:rPr>
          <w:rFonts w:ascii="Times New Roman" w:hAnsi="Times New Roman"/>
          <w:b w:val="false"/>
          <w:i w:val="false"/>
          <w:color w:val="000000"/>
          <w:sz w:val="21"/>
        </w:rPr>
        <w:t>GENERAL REQUIREMENTS FOR ATHLETIC COMMISSION EVENTS</w:t>
      </w:r>
    </w:p>
    <w:p>
      <w:pPr>
        <w:spacing w:before="0" w:after="0"/>
        <w:ind w:left="120"/>
        <w:jc w:val="both"/>
      </w:pPr>
      <w:r>
        <w:rPr>
          <w:rFonts w:ascii="Times New Roman" w:hAnsi="Times New Roman"/>
          <w:b/>
          <w:i w:val="false"/>
          <w:color w:val="000000"/>
          <w:sz w:val="22"/>
        </w:rPr>
        <w:t>875—169.1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Unless otherwise noted, this chapter applies to each event covered by Iowa Code chapter </w:t>
      </w:r>
      <w:hyperlink r:id="rId4">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875—169.2</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5">
        <w:r>
          <w:rPr>
            <w:rStyle w:val="Hyperlink"/>
            <w:rFonts w:ascii="Times New Roman" w:hAnsi="Times New Roman"/>
            <w:b w:val="false"/>
            <w:i w:val="false"/>
            <w:color w:val="000000"/>
            <w:sz w:val="22"/>
          </w:rPr>
          <w:t>875—Chapters 169 through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state commissioner of athletics, who is also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includes a physician assistant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wrestling” </w:t>
      </w:r>
      <w:r>
        <w:rPr>
          <w:rFonts w:ascii="Times New Roman" w:hAnsi="Times New Roman"/>
          <w:b w:val="false"/>
          <w:i w:val="false"/>
          <w:color w:val="000000"/>
          <w:sz w:val="22"/>
        </w:rPr>
        <w:t>is an exhibition in which the participants display their skills in a physical struggle against each other for entertainment and does not comprise a bona fide athletic contest or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875—169.3</w:t>
      </w:r>
      <w:r>
        <w:rPr>
          <w:rFonts w:ascii="Times New Roman" w:hAnsi="Times New Roman"/>
          <w:b/>
          <w:i w:val="false"/>
          <w:color w:val="000000"/>
          <w:sz w:val="22"/>
        </w:rPr>
        <w:t xml:space="preserve">(90A) </w:t>
      </w:r>
      <w:r>
        <w:rPr>
          <w:rFonts w:ascii="Times New Roman" w:hAnsi="Times New Roman"/>
          <w:b/>
          <w:i w:val="false"/>
          <w:color w:val="000000"/>
          <w:sz w:val="22"/>
        </w:rPr>
        <w:t xml:space="preserve">Prohibited events. </w:t>
      </w:r>
      <w:r>
        <w:rPr>
          <w:rFonts w:ascii="Times New Roman" w:hAnsi="Times New Roman"/>
          <w:b w:val="false"/>
          <w:i w:val="false"/>
          <w:color w:val="000000"/>
          <w:sz w:val="22"/>
        </w:rPr>
        <w:t>No promoter shall arrange or advertise: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169.3(1)</w:t>
      </w:r>
      <w:r>
        <w:rPr>
          <w:rFonts w:ascii="Times New Roman" w:hAnsi="Times New Roman"/>
          <w:b w:val="false"/>
          <w:i w:val="false"/>
          <w:color w:val="000000"/>
          <w:sz w:val="22"/>
        </w:rPr>
        <w:t> </w:t>
      </w:r>
      <w:r>
        <w:rPr>
          <w:rFonts w:ascii="Times New Roman" w:hAnsi="Times New Roman"/>
          <w:b w:val="false"/>
          <w:i w:val="false"/>
          <w:color w:val="000000"/>
          <w:sz w:val="22"/>
        </w:rPr>
        <w:t>A match between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169.3(2)</w:t>
      </w:r>
      <w:r>
        <w:rPr>
          <w:rFonts w:ascii="Times New Roman" w:hAnsi="Times New Roman"/>
          <w:b w:val="false"/>
          <w:i w:val="false"/>
          <w:color w:val="000000"/>
          <w:sz w:val="22"/>
        </w:rPr>
        <w:t> </w:t>
      </w:r>
      <w:r>
        <w:rPr>
          <w:rFonts w:ascii="Times New Roman" w:hAnsi="Times New Roman"/>
          <w:b w:val="false"/>
          <w:i w:val="false"/>
          <w:color w:val="000000"/>
          <w:sz w:val="22"/>
        </w:rPr>
        <w:t>A match between more than two contestants;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169.3(3)</w:t>
      </w:r>
      <w:r>
        <w:rPr>
          <w:rFonts w:ascii="Times New Roman" w:hAnsi="Times New Roman"/>
          <w:b w:val="false"/>
          <w:i w:val="false"/>
          <w:color w:val="000000"/>
          <w:sz w:val="22"/>
        </w:rPr>
        <w:t> </w:t>
      </w:r>
      <w:r>
        <w:rPr>
          <w:rFonts w:ascii="Times New Roman" w:hAnsi="Times New Roman"/>
          <w:b w:val="false"/>
          <w:i w:val="false"/>
          <w:color w:val="000000"/>
          <w:sz w:val="22"/>
        </w:rPr>
        <w:t>A match with a contestant who is younger than 18 years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6">
        <w:r>
          <w:rPr>
            <w:rStyle w:val="Hyperlink"/>
            <w:rFonts w:ascii="Times New Roman" w:hAnsi="Times New Roman"/>
            <w:b w:val="false"/>
            <w:i w:val="false"/>
            <w:color w:val="000000"/>
            <w:sz w:val="22"/>
          </w:rPr>
          <w:t>169.5(1)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assistant’s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8">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r>
        <w:rPr>
          <w:rFonts w:ascii="Times New Roman" w:hAnsi="Times New Roman"/>
          <w:b w:val="false"/>
          <w:i w:val="false"/>
          <w:color w:val="000000"/>
          <w:sz w:val="22"/>
        </w:rPr>
        <w:t>169.6(1) through 169.6(6)</w:t>
      </w:r>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10">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assistant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assistant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11">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8835C</w:t>
      </w:r>
      <w:r>
        <w:rPr>
          <w:rFonts w:ascii="Times New Roman" w:hAnsi="Times New Roman"/>
          <w:b w:val="false"/>
          <w:i w:val="false"/>
          <w:color w:val="000000"/>
          <w:sz w:val="21"/>
        </w:rPr>
        <w:t xml:space="preserve"> (Notice ARC 8377C,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A.pdf" Type="http://schemas.openxmlformats.org/officeDocument/2006/relationships/hyperlink" Id="rId4"/>
    <Relationship TargetMode="External" Target="https://www.legis.iowa.gov/docs/iac/chapter/875.169.pdf" Type="http://schemas.openxmlformats.org/officeDocument/2006/relationships/hyperlink" Id="rId5"/>
    <Relationship TargetMode="External" Target="https://www.legis.iowa.gov/docs/iac/rule/875.169.5.pdf" Type="http://schemas.openxmlformats.org/officeDocument/2006/relationships/hyperlink" Id="rId6"/>
    <Relationship TargetMode="External" Target="https://www.legis.iowa.gov/docs/ico/chapter/90A.pdf" Type="http://schemas.openxmlformats.org/officeDocument/2006/relationships/hyperlink" Id="rId7"/>
    <Relationship TargetMode="External" Target="https://www.legis.iowa.gov/docs/ico/chapter/90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90A.pdf" Type="http://schemas.openxmlformats.org/officeDocument/2006/relationships/hyperlink" Id="rId10"/>
    <Relationship TargetMode="External" Target="http://mixedmartialarts.com" Type="http://schemas.openxmlformats.org/officeDocument/2006/relationships/hyperlink" Id="rId11"/>
    <Relationship TargetMode="External" Target="https://www.legis.iowa.gov/docs/ico/chapter/90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