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160</w:t>
      </w:r>
    </w:p>
    <w:p>
      <w:pPr>
        <w:spacing w:before="0" w:after="0"/>
        <w:ind w:left="120"/>
        <w:jc w:val="center"/>
      </w:pPr>
      <w:r>
        <w:rPr>
          <w:rFonts w:ascii="Times New Roman" w:hAnsi="Times New Roman"/>
          <w:b w:val="false"/>
          <w:i w:val="false"/>
          <w:color w:val="000000"/>
          <w:sz w:val="21"/>
        </w:rPr>
        <w:t>EMPLOYER REQUIREMENTS FOR</w:t>
      </w:r>
      <w:r>
        <w:br/>
      </w:r>
      <w:r>
        <w:rPr>
          <w:rFonts w:ascii="Times New Roman" w:hAnsi="Times New Roman"/>
          <w:b w:val="false"/>
          <w:i w:val="false"/>
          <w:color w:val="000000"/>
          <w:sz w:val="21"/>
        </w:rPr>
        <w:t xml:space="preserve"> NON-ENGLISH SPEAKING EMPLOYEES</w:t>
      </w:r>
    </w:p>
    <w:p>
      <w:pPr>
        <w:spacing w:before="0" w:after="0"/>
        <w:ind w:left="120"/>
        <w:jc w:val="center"/>
      </w:pPr>
      <w:r>
        <w:rPr>
          <w:rFonts w:ascii="Times New Roman" w:hAnsi="Times New Roman"/>
          <w:b w:val="false"/>
          <w:i w:val="false"/>
          <w:color w:val="000000"/>
          <w:sz w:val="14"/>
        </w:rPr>
        <w:t>[Prior to 10/21/98, see 347—Ch 160]</w:t>
      </w:r>
    </w:p>
    <w:p>
      <w:pPr>
        <w:spacing w:before="0" w:after="0"/>
        <w:ind w:left="120"/>
        <w:jc w:val="both"/>
      </w:pPr>
      <w:r>
        <w:rPr>
          <w:rFonts w:ascii="Times New Roman" w:hAnsi="Times New Roman"/>
          <w:b/>
          <w:i w:val="false"/>
          <w:color w:val="000000"/>
          <w:sz w:val="22"/>
        </w:rPr>
        <w:t>875—160.1</w:t>
      </w:r>
      <w:r>
        <w:rPr>
          <w:rFonts w:ascii="Times New Roman" w:hAnsi="Times New Roman"/>
          <w:b/>
          <w:i w:val="false"/>
          <w:color w:val="000000"/>
          <w:sz w:val="22"/>
        </w:rPr>
        <w:t xml:space="preserve">(91E)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These rules apply to employees employed on an hourly basis.  These rules apply to employers whose total employment of employees paid on an hourly basis in this state exceeds 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875—160.2</w:t>
      </w:r>
      <w:r>
        <w:rPr>
          <w:rFonts w:ascii="Times New Roman" w:hAnsi="Times New Roman"/>
          <w:b/>
          <w:i w:val="false"/>
          <w:color w:val="000000"/>
          <w:sz w:val="22"/>
        </w:rPr>
        <w:t xml:space="preserve">(91E)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4">
        <w:r>
          <w:rPr>
            <w:rStyle w:val="Hyperlink"/>
            <w:rFonts w:ascii="Times New Roman" w:hAnsi="Times New Roman"/>
            <w:b w:val="false"/>
            <w:i w:val="false"/>
            <w:color w:val="000000"/>
            <w:sz w:val="22"/>
          </w:rPr>
          <w:t>91E.1</w:t>
        </w:r>
      </w:hyperlink>
      <w:r>
        <w:rPr>
          <w:rFonts w:ascii="Times New Roman" w:hAnsi="Times New Roman"/>
          <w:b w:val="false"/>
          <w:i w:val="false"/>
          <w:color w:val="000000"/>
          <w:sz w:val="22"/>
        </w:rPr>
        <w:t xml:space="preserve"> are adopted with the following clarifications or additions: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non-English speaking employee services Act, Iowa Code chapter </w:t>
      </w:r>
      <w:hyperlink r:id="rId5">
        <w:r>
          <w:rPr>
            <w:rStyle w:val="Hyperlink"/>
            <w:rFonts w:ascii="Times New Roman" w:hAnsi="Times New Roman"/>
            <w:b w:val="false"/>
            <w:i w:val="false"/>
            <w:color w:val="000000"/>
            <w:sz w:val="22"/>
          </w:rPr>
          <w:t>91E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employer, employee, or non-English speaking employee as those terms are defined in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day” </w:t>
      </w:r>
      <w:r>
        <w:rPr>
          <w:rFonts w:ascii="Times New Roman" w:hAnsi="Times New Roman"/>
          <w:b w:val="false"/>
          <w:i w:val="false"/>
          <w:color w:val="000000"/>
          <w:sz w:val="22"/>
        </w:rPr>
        <w:t xml:space="preserve">means those days an office is open and staffed with the person(s) capable of processing employees’ requests for transportation provided in Iowa Code section </w:t>
      </w:r>
      <w:hyperlink r:id="rId6">
        <w:r>
          <w:rPr>
            <w:rStyle w:val="Hyperlink"/>
            <w:rFonts w:ascii="Times New Roman" w:hAnsi="Times New Roman"/>
            <w:b w:val="false"/>
            <w:i w:val="false"/>
            <w:color w:val="000000"/>
            <w:sz w:val="22"/>
          </w:rPr>
          <w:t>91E.3(2)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site” </w:t>
      </w:r>
      <w:r>
        <w:rPr>
          <w:rFonts w:ascii="Times New Roman" w:hAnsi="Times New Roman"/>
          <w:b w:val="false"/>
          <w:i w:val="false"/>
          <w:color w:val="000000"/>
          <w:sz w:val="22"/>
        </w:rPr>
        <w:t>means a single physical location where business is conducted or where services or industrial operations are performed (e.g., a factory, mill, store, hotel, restaurant, movie theatre, farm, ranch, bank, sales office, warehouse, or central administrative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875—160.3</w:t>
      </w:r>
      <w:r>
        <w:rPr>
          <w:rFonts w:ascii="Times New Roman" w:hAnsi="Times New Roman"/>
          <w:b/>
          <w:i w:val="false"/>
          <w:color w:val="000000"/>
          <w:sz w:val="22"/>
        </w:rPr>
        <w:t xml:space="preserve">(91E) </w:t>
      </w:r>
      <w:r>
        <w:rPr>
          <w:rFonts w:ascii="Times New Roman" w:hAnsi="Times New Roman"/>
          <w:b/>
          <w:i w:val="false"/>
          <w:color w:val="000000"/>
          <w:sz w:val="22"/>
        </w:rPr>
        <w:t xml:space="preserve">Knowledge of English. </w:t>
      </w:r>
      <w:r>
        <w:rPr>
          <w:rFonts w:ascii="Times New Roman" w:hAnsi="Times New Roman"/>
          <w:b w:val="false"/>
          <w:i w:val="false"/>
          <w:color w:val="000000"/>
          <w:sz w:val="22"/>
        </w:rPr>
        <w:t>An employee who can understand the following in English is not covered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160.3(1)</w:t>
      </w:r>
      <w:r>
        <w:rPr>
          <w:rFonts w:ascii="Times New Roman" w:hAnsi="Times New Roman"/>
          <w:b w:val="false"/>
          <w:i w:val="false"/>
          <w:color w:val="000000"/>
          <w:sz w:val="22"/>
        </w:rPr>
        <w:t> </w:t>
      </w:r>
      <w:r>
        <w:rPr>
          <w:rFonts w:ascii="Times New Roman" w:hAnsi="Times New Roman"/>
          <w:b w:val="false"/>
          <w:i w:val="false"/>
          <w:color w:val="000000"/>
          <w:sz w:val="22"/>
        </w:rPr>
        <w:t>The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160.3(2)</w:t>
      </w:r>
      <w:r>
        <w:rPr>
          <w:rFonts w:ascii="Times New Roman" w:hAnsi="Times New Roman"/>
          <w:b w:val="false"/>
          <w:i w:val="false"/>
          <w:color w:val="000000"/>
          <w:sz w:val="22"/>
        </w:rPr>
        <w:t> </w:t>
      </w:r>
      <w:r>
        <w:rPr>
          <w:rFonts w:ascii="Times New Roman" w:hAnsi="Times New Roman"/>
          <w:b w:val="false"/>
          <w:i w:val="false"/>
          <w:color w:val="000000"/>
          <w:sz w:val="22"/>
        </w:rPr>
        <w:t>The hourly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160.3(3)</w:t>
      </w:r>
      <w:r>
        <w:rPr>
          <w:rFonts w:ascii="Times New Roman" w:hAnsi="Times New Roman"/>
          <w:b w:val="false"/>
          <w:i w:val="false"/>
          <w:color w:val="000000"/>
          <w:sz w:val="22"/>
        </w:rPr>
        <w:t> </w:t>
      </w:r>
      <w:r>
        <w:rPr>
          <w:rFonts w:ascii="Times New Roman" w:hAnsi="Times New Roman"/>
          <w:b w:val="false"/>
          <w:i w:val="false"/>
          <w:color w:val="000000"/>
          <w:sz w:val="22"/>
        </w:rPr>
        <w:t>All mandatory and elective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160.3(4)</w:t>
      </w:r>
      <w:r>
        <w:rPr>
          <w:rFonts w:ascii="Times New Roman" w:hAnsi="Times New Roman"/>
          <w:b w:val="false"/>
          <w:i w:val="false"/>
          <w:color w:val="000000"/>
          <w:sz w:val="22"/>
        </w:rPr>
        <w:t> </w:t>
      </w:r>
      <w:r>
        <w:rPr>
          <w:rFonts w:ascii="Times New Roman" w:hAnsi="Times New Roman"/>
          <w:b w:val="false"/>
          <w:i w:val="false"/>
          <w:color w:val="000000"/>
          <w:sz w:val="22"/>
        </w:rPr>
        <w:t>The job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160.3(5)</w:t>
      </w:r>
      <w:r>
        <w:rPr>
          <w:rFonts w:ascii="Times New Roman" w:hAnsi="Times New Roman"/>
          <w:b w:val="false"/>
          <w:i w:val="false"/>
          <w:color w:val="000000"/>
          <w:sz w:val="22"/>
        </w:rPr>
        <w:t> </w:t>
      </w:r>
      <w:r>
        <w:rPr>
          <w:rFonts w:ascii="Times New Roman" w:hAnsi="Times New Roman"/>
          <w:b w:val="false"/>
          <w:i w:val="false"/>
          <w:color w:val="000000"/>
          <w:sz w:val="22"/>
        </w:rPr>
        <w:t>The safety and health risks of the job and appropriate methods of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160.3(6)</w:t>
      </w:r>
      <w:r>
        <w:rPr>
          <w:rFonts w:ascii="Times New Roman" w:hAnsi="Times New Roman"/>
          <w:b w:val="false"/>
          <w:i w:val="false"/>
          <w:color w:val="000000"/>
          <w:sz w:val="22"/>
        </w:rPr>
        <w:t> </w:t>
      </w:r>
      <w:r>
        <w:rPr>
          <w:rFonts w:ascii="Times New Roman" w:hAnsi="Times New Roman"/>
          <w:b w:val="false"/>
          <w:i w:val="false"/>
          <w:color w:val="000000"/>
          <w:sz w:val="22"/>
        </w:rPr>
        <w:t>Information and training on hazardous chemicals in the employee’s work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160.3(7)</w:t>
      </w:r>
      <w:r>
        <w:rPr>
          <w:rFonts w:ascii="Times New Roman" w:hAnsi="Times New Roman"/>
          <w:b w:val="false"/>
          <w:i w:val="false"/>
          <w:color w:val="000000"/>
          <w:sz w:val="22"/>
        </w:rPr>
        <w:t> </w:t>
      </w:r>
      <w:r>
        <w:rPr>
          <w:rFonts w:ascii="Times New Roman" w:hAnsi="Times New Roman"/>
          <w:b w:val="false"/>
          <w:i w:val="false"/>
          <w:color w:val="000000"/>
          <w:sz w:val="22"/>
        </w:rPr>
        <w:t>Safety signs and symbols that warn of potential dangers and hazards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160.3(8)</w:t>
      </w:r>
      <w:r>
        <w:rPr>
          <w:rFonts w:ascii="Times New Roman" w:hAnsi="Times New Roman"/>
          <w:b w:val="false"/>
          <w:i w:val="false"/>
          <w:color w:val="000000"/>
          <w:sz w:val="22"/>
        </w:rPr>
        <w:t> </w:t>
      </w:r>
      <w:r>
        <w:rPr>
          <w:rFonts w:ascii="Times New Roman" w:hAnsi="Times New Roman"/>
          <w:b w:val="false"/>
          <w:i w:val="false"/>
          <w:color w:val="000000"/>
          <w:sz w:val="22"/>
        </w:rPr>
        <w:t>The purpose of forms used by the employer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Accidents at the work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forms the employee is required to complete or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160.3(9)</w:t>
      </w:r>
      <w:r>
        <w:rPr>
          <w:rFonts w:ascii="Times New Roman" w:hAnsi="Times New Roman"/>
          <w:b w:val="false"/>
          <w:i w:val="false"/>
          <w:color w:val="000000"/>
          <w:sz w:val="22"/>
        </w:rPr>
        <w:t> </w:t>
      </w:r>
      <w:r>
        <w:rPr>
          <w:rFonts w:ascii="Times New Roman" w:hAnsi="Times New Roman"/>
          <w:b w:val="false"/>
          <w:i w:val="false"/>
          <w:color w:val="000000"/>
          <w:sz w:val="22"/>
        </w:rPr>
        <w:t>The employer’s requirement to provide an interpreter if more than 10 percent of the employer’s employees speak the same non-English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160.3(10)</w:t>
      </w:r>
      <w:r>
        <w:rPr>
          <w:rFonts w:ascii="Times New Roman" w:hAnsi="Times New Roman"/>
          <w:b w:val="false"/>
          <w:i w:val="false"/>
          <w:color w:val="000000"/>
          <w:sz w:val="22"/>
        </w:rPr>
        <w:t> </w:t>
      </w:r>
      <w:r>
        <w:rPr>
          <w:rFonts w:ascii="Times New Roman" w:hAnsi="Times New Roman"/>
          <w:b w:val="false"/>
          <w:i w:val="false"/>
          <w:color w:val="000000"/>
          <w:sz w:val="22"/>
        </w:rPr>
        <w:t>Communication with a nurse or other medical personnel at the work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875—160.4</w:t>
      </w:r>
      <w:r>
        <w:rPr>
          <w:rFonts w:ascii="Times New Roman" w:hAnsi="Times New Roman"/>
          <w:b/>
          <w:i w:val="false"/>
          <w:color w:val="000000"/>
          <w:sz w:val="22"/>
        </w:rPr>
        <w:t xml:space="preserve">(91E) </w:t>
      </w:r>
      <w:r>
        <w:rPr>
          <w:rFonts w:ascii="Times New Roman" w:hAnsi="Times New Roman"/>
          <w:b/>
          <w:i w:val="false"/>
          <w:color w:val="000000"/>
          <w:sz w:val="22"/>
        </w:rPr>
        <w:t xml:space="preserve">Community services referral agent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160.4(1)</w:t>
      </w:r>
      <w:r>
        <w:rPr>
          <w:rFonts w:ascii="Times New Roman" w:hAnsi="Times New Roman"/>
          <w:b w:val="false"/>
          <w:i w:val="false"/>
          <w:color w:val="000000"/>
          <w:sz w:val="22"/>
        </w:rPr>
        <w:t> </w:t>
      </w:r>
      <w:r>
        <w:rPr>
          <w:rFonts w:ascii="Times New Roman" w:hAnsi="Times New Roman"/>
          <w:b w:val="false"/>
          <w:i/>
          <w:color w:val="000000"/>
          <w:sz w:val="22"/>
        </w:rPr>
        <w:t xml:space="preserve">Referral agent available. </w:t>
      </w:r>
      <w:r>
        <w:rPr>
          <w:rFonts w:ascii="Times New Roman" w:hAnsi="Times New Roman"/>
          <w:b w:val="false"/>
          <w:i w:val="false"/>
          <w:color w:val="000000"/>
          <w:sz w:val="22"/>
        </w:rPr>
        <w:t>The employer provides to employees at each work site the name of the person who is designated as having the primary responsibility as the referral agent. The information shall be provided in the language of the non-English speaking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160.4(2)</w:t>
      </w:r>
      <w:r>
        <w:rPr>
          <w:rFonts w:ascii="Times New Roman" w:hAnsi="Times New Roman"/>
          <w:b w:val="false"/>
          <w:i w:val="false"/>
          <w:color w:val="000000"/>
          <w:sz w:val="22"/>
        </w:rPr>
        <w:t> </w:t>
      </w:r>
      <w:r>
        <w:rPr>
          <w:rFonts w:ascii="Times New Roman" w:hAnsi="Times New Roman"/>
          <w:b w:val="false"/>
          <w:i/>
          <w:color w:val="000000"/>
          <w:sz w:val="22"/>
        </w:rPr>
        <w:t xml:space="preserve">Referral agent’s responsibilities. </w:t>
      </w:r>
      <w:r>
        <w:rPr>
          <w:rFonts w:ascii="Times New Roman" w:hAnsi="Times New Roman"/>
          <w:b w:val="false"/>
          <w:i w:val="false"/>
          <w:color w:val="000000"/>
          <w:sz w:val="22"/>
        </w:rPr>
        <w:t>The primary responsibility of the person employed as the employer’s referral agent is to develop and maintain a list of contact persons and agencies, telephone numbers, and addresses of the community services provided in the work site’s community. The referral agent assists non-English speaking employees in working with and through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875—160.5</w:t>
      </w:r>
      <w:r>
        <w:rPr>
          <w:rFonts w:ascii="Times New Roman" w:hAnsi="Times New Roman"/>
          <w:b/>
          <w:i w:val="false"/>
          <w:color w:val="000000"/>
          <w:sz w:val="22"/>
        </w:rPr>
        <w:t xml:space="preserve">(91E)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160.5(1)</w:t>
      </w:r>
      <w:r>
        <w:rPr>
          <w:rFonts w:ascii="Times New Roman" w:hAnsi="Times New Roman"/>
          <w:b w:val="false"/>
          <w:i w:val="false"/>
          <w:color w:val="000000"/>
          <w:sz w:val="22"/>
        </w:rPr>
        <w:t> </w:t>
      </w:r>
      <w:r>
        <w:rPr>
          <w:rFonts w:ascii="Times New Roman" w:hAnsi="Times New Roman"/>
          <w:b w:val="false"/>
          <w:i w:val="false"/>
          <w:color w:val="000000"/>
          <w:sz w:val="22"/>
        </w:rPr>
        <w:t>An applicant desiring an exemption may file a written application with the director that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work site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operation or type of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listing of the section of the Act or rules to which the exemption would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representation of the impact of compliance on the part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representation of why the exemption would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 description of how employees and non-English speaking employees have been informed of the application and their rights to petition the director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employee or non-English speaking employee, a description of how the employer has been informed of the application and the employer’s rights to petition the director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if one is desired;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director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160.5(2)</w:t>
      </w:r>
      <w:r>
        <w:rPr>
          <w:rFonts w:ascii="Times New Roman" w:hAnsi="Times New Roman"/>
          <w:b w:val="false"/>
          <w:i w:val="false"/>
          <w:color w:val="000000"/>
          <w:sz w:val="22"/>
        </w:rPr>
        <w:t> </w:t>
      </w:r>
      <w:r>
        <w:rPr>
          <w:rFonts w:ascii="Times New Roman" w:hAnsi="Times New Roman"/>
          <w:b w:val="false"/>
          <w:i w:val="false"/>
          <w:color w:val="000000"/>
          <w:sz w:val="22"/>
        </w:rPr>
        <w:t>At the time the application is received, the director shall promptly provide the applicant with a notice of receipt of application that shall be posted where notices are customarily posted for employees. If the applicant is an employee or non-English speaking employee, the employer shall post the notice when provided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160.5(3)</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any affected employee or an affected non-English speaking employee may request a hearing. If the applicant is an employee or a non-English speaking employee, the affected employer may request a hearing. Any request for a hearing on the application is made by notifying the director within 14 calendar days of posting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875—160.6</w:t>
      </w:r>
      <w:r>
        <w:rPr>
          <w:rFonts w:ascii="Times New Roman" w:hAnsi="Times New Roman"/>
          <w:b/>
          <w:i w:val="false"/>
          <w:color w:val="000000"/>
          <w:sz w:val="22"/>
        </w:rPr>
        <w:t xml:space="preserve">(91E) </w:t>
      </w:r>
      <w:r>
        <w:rPr>
          <w:rFonts w:ascii="Times New Roman" w:hAnsi="Times New Roman"/>
          <w:b/>
          <w:i w:val="false"/>
          <w:color w:val="000000"/>
          <w:sz w:val="22"/>
        </w:rPr>
        <w:t xml:space="preserve">Inspections. </w:t>
      </w:r>
      <w:r>
        <w:rPr>
          <w:rFonts w:ascii="Times New Roman" w:hAnsi="Times New Roman"/>
          <w:b w:val="false"/>
          <w:i w:val="false"/>
          <w:color w:val="000000"/>
          <w:sz w:val="22"/>
        </w:rPr>
        <w:t>This rule pertains to enforcement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160.6(1)</w:t>
      </w:r>
      <w:r>
        <w:rPr>
          <w:rFonts w:ascii="Times New Roman" w:hAnsi="Times New Roman"/>
          <w:b w:val="false"/>
          <w:i w:val="false"/>
          <w:color w:val="000000"/>
          <w:sz w:val="22"/>
        </w:rPr>
        <w:t> </w:t>
      </w:r>
      <w:r>
        <w:rPr>
          <w:rFonts w:ascii="Times New Roman" w:hAnsi="Times New Roman"/>
          <w:b w:val="false"/>
          <w:i w:val="false"/>
          <w:color w:val="000000"/>
          <w:sz w:val="22"/>
        </w:rPr>
        <w:t>Inspections shall take place at the times and places directed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160.6(2)</w:t>
      </w:r>
      <w:r>
        <w:rPr>
          <w:rFonts w:ascii="Times New Roman" w:hAnsi="Times New Roman"/>
          <w:b w:val="false"/>
          <w:i w:val="false"/>
          <w:color w:val="000000"/>
          <w:sz w:val="22"/>
        </w:rPr>
        <w:t> </w:t>
      </w:r>
      <w:r>
        <w:rPr>
          <w:rFonts w:ascii="Times New Roman" w:hAnsi="Times New Roman"/>
          <w:b w:val="false"/>
          <w:i w:val="false"/>
          <w:color w:val="000000"/>
          <w:sz w:val="22"/>
        </w:rPr>
        <w:t>Inspections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160.6(3)</w:t>
      </w:r>
      <w:r>
        <w:rPr>
          <w:rFonts w:ascii="Times New Roman" w:hAnsi="Times New Roman"/>
          <w:b w:val="false"/>
          <w:i w:val="false"/>
          <w:color w:val="000000"/>
          <w:sz w:val="22"/>
        </w:rPr>
        <w:t> </w:t>
      </w:r>
      <w:r>
        <w:rPr>
          <w:rFonts w:ascii="Times New Roman" w:hAnsi="Times New Roman"/>
          <w:b w:val="false"/>
          <w:i w:val="false"/>
          <w:color w:val="000000"/>
          <w:sz w:val="22"/>
        </w:rPr>
        <w:t>The commissioner may interview persons at the work site and utilize other reasonable inspection techniques including but not limited to correspondence, telephone conversation, review of written materials, and physical inspection of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160.6(4)</w:t>
      </w:r>
      <w:r>
        <w:rPr>
          <w:rFonts w:ascii="Times New Roman" w:hAnsi="Times New Roman"/>
          <w:b w:val="false"/>
          <w:i w:val="false"/>
          <w:color w:val="000000"/>
          <w:sz w:val="22"/>
        </w:rPr>
        <w:t> </w:t>
      </w:r>
      <w:r>
        <w:rPr>
          <w:rFonts w:ascii="Times New Roman" w:hAnsi="Times New Roman"/>
          <w:b w:val="false"/>
          <w:i w:val="false"/>
          <w:color w:val="000000"/>
          <w:sz w:val="22"/>
        </w:rPr>
        <w:t>Unnecessary disruptions to the operations at the work site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160.6(5)</w:t>
      </w:r>
      <w:r>
        <w:rPr>
          <w:rFonts w:ascii="Times New Roman" w:hAnsi="Times New Roman"/>
          <w:b w:val="false"/>
          <w:i w:val="false"/>
          <w:color w:val="000000"/>
          <w:sz w:val="22"/>
        </w:rPr>
        <w:t> </w:t>
      </w:r>
      <w:r>
        <w:rPr>
          <w:rFonts w:ascii="Times New Roman" w:hAnsi="Times New Roman"/>
          <w:b w:val="false"/>
          <w:i w:val="false"/>
          <w:color w:val="000000"/>
          <w:sz w:val="22"/>
        </w:rPr>
        <w:t>In the event the commissioner is not permitted to fully conduct an inspection, an administrative warrant may be sought.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875—160.7</w:t>
      </w:r>
      <w:r>
        <w:rPr>
          <w:rFonts w:ascii="Times New Roman" w:hAnsi="Times New Roman"/>
          <w:b/>
          <w:i w:val="false"/>
          <w:color w:val="000000"/>
          <w:sz w:val="22"/>
        </w:rPr>
        <w:t xml:space="preserve">(91E) </w:t>
      </w:r>
      <w:r>
        <w:rPr>
          <w:rFonts w:ascii="Times New Roman" w:hAnsi="Times New Roman"/>
          <w:b/>
          <w:i w:val="false"/>
          <w:color w:val="000000"/>
          <w:sz w:val="22"/>
        </w:rPr>
        <w:t xml:space="preserve">Enforcement and penalties. </w:t>
      </w:r>
      <w:r>
        <w:rPr>
          <w:rFonts w:ascii="Times New Roman" w:hAnsi="Times New Roman"/>
          <w:b w:val="false"/>
          <w:i w:val="false"/>
          <w:color w:val="000000"/>
          <w:sz w:val="22"/>
        </w:rPr>
        <w:t>If the director finds a violation subject to a civil penalty, the director will issue a notice of violation to the employer and propose a civil penalty that shall be sent to the employer by certified mail. The employer has 14 calendar days from receipt of the notice of violation or proposed civil penalty to inform the director by mail of the intent to contest the notification or proposed penalty. After receipt of the employer’s notification, the director will afford the employer the opportunity for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91E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6/8/90—published 6/27/90, effective 7/1/90]</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ARC 2489C</w:t>
      </w:r>
      <w:r>
        <w:rPr>
          <w:rFonts w:ascii="Times New Roman" w:hAnsi="Times New Roman"/>
          <w:b w:val="false"/>
          <w:i w:val="false"/>
          <w:color w:val="000000"/>
          <w:sz w:val="21"/>
        </w:rPr>
        <w:t xml:space="preserve"> (Notice ARC 2389C,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8753C</w:t>
      </w:r>
      <w:r>
        <w:rPr>
          <w:rFonts w:ascii="Times New Roman" w:hAnsi="Times New Roman"/>
          <w:b w:val="false"/>
          <w:i w:val="false"/>
          <w:color w:val="000000"/>
          <w:sz w:val="21"/>
        </w:rPr>
        <w:t xml:space="preserve"> (Notice ARC 8274C,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E.pdf" Type="http://schemas.openxmlformats.org/officeDocument/2006/relationships/hyperlink" Id="rId4"/>
    <Relationship TargetMode="External" Target="https://www.legis.iowa.gov/docs/ico/chapter/91E.pdf" Type="http://schemas.openxmlformats.org/officeDocument/2006/relationships/hyperlink" Id="rId5"/>
    <Relationship TargetMode="External" Target="https://www.legis.iowa.gov/docs/ico/chapter/91E.pdf" Type="http://schemas.openxmlformats.org/officeDocument/2006/relationships/hyperlink" Id="rId6"/>
    <Relationship TargetMode="External" Target="https://www.legis.iowa.gov/docs/ico/chapter/91E.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