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155</w:t>
      </w:r>
    </w:p>
    <w:p>
      <w:pPr>
        <w:spacing w:before="0" w:after="0"/>
        <w:ind w:left="120"/>
        <w:jc w:val="center"/>
      </w:pPr>
      <w:r>
        <w:rPr>
          <w:rFonts w:ascii="Times New Roman" w:hAnsi="Times New Roman"/>
          <w:b w:val="false"/>
          <w:i w:val="false"/>
          <w:color w:val="000000"/>
          <w:sz w:val="21"/>
        </w:rPr>
        <w:t>ASBESTOS REMOVAL AND ENCAPSULATION</w:t>
      </w:r>
    </w:p>
    <w:p>
      <w:pPr>
        <w:spacing w:before="0" w:after="0"/>
        <w:ind w:left="120"/>
        <w:jc w:val="center"/>
      </w:pPr>
      <w:r>
        <w:rPr>
          <w:rFonts w:ascii="Times New Roman" w:hAnsi="Times New Roman"/>
          <w:b w:val="false"/>
          <w:i w:val="false"/>
          <w:color w:val="000000"/>
          <w:sz w:val="14"/>
        </w:rPr>
        <w:t>[Prior to 10/18/00, see 875—Chs 81 and 82]</w:t>
      </w:r>
    </w:p>
    <w:p>
      <w:pPr>
        <w:spacing w:before="0" w:after="0"/>
        <w:ind w:left="120"/>
        <w:jc w:val="both"/>
      </w:pPr>
      <w:r>
        <w:rPr>
          <w:rFonts w:ascii="Times New Roman" w:hAnsi="Times New Roman"/>
          <w:b/>
          <w:i w:val="false"/>
          <w:color w:val="000000"/>
          <w:sz w:val="22"/>
        </w:rPr>
        <w:t>875—155.1</w:t>
      </w:r>
      <w:r>
        <w:rPr>
          <w:rFonts w:ascii="Times New Roman" w:hAnsi="Times New Roman"/>
          <w:b/>
          <w:i w:val="false"/>
          <w:color w:val="000000"/>
          <w:sz w:val="22"/>
        </w:rPr>
        <w:t xml:space="preserve">(88B)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a partnership, firm, association, corporation, sole proprietorship, or other business concern. A business entity that uses its own employees in removing or encapsulating asbestos for the purpose of renovating, maintaining or repairing its own facilities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w:t>
      </w:r>
      <w:r>
        <w:rPr>
          <w:rFonts w:ascii="Times New Roman" w:hAnsi="Times New Roman"/>
          <w:b w:val="false"/>
          <w:i w:val="false"/>
          <w:color w:val="000000"/>
          <w:sz w:val="22"/>
        </w:rPr>
        <w:t>means a person who supervises workers on asbestos projects or a person who enters into contracts to perform asbestos projects and personally completes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“Friable asbestos material” </w:t>
      </w:r>
      <w:r>
        <w:rPr>
          <w:rFonts w:ascii="Times New Roman" w:hAnsi="Times New Roman"/>
          <w:b w:val="false"/>
          <w:i w:val="false"/>
          <w:color w:val="000000"/>
          <w:sz w:val="22"/>
        </w:rPr>
        <w:t>means any material containing more than 1 percent asbestos by weight and that can be crumbled, pulverized, or reduced to powder by hand pressure when 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means a person who inspects for asbestos-containing building materials in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 authorization issued by the department permitting an individual to be employed as a worker, contractor/supervisor, inspector, management planner, or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planner” </w:t>
      </w:r>
      <w:r>
        <w:rPr>
          <w:rFonts w:ascii="Times New Roman" w:hAnsi="Times New Roman"/>
          <w:b w:val="false"/>
          <w:i w:val="false"/>
          <w:color w:val="000000"/>
          <w:sz w:val="22"/>
        </w:rPr>
        <w:t>means a person who prepares asbestos management plans for a school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an authorization issued by the department permitting a business entity to remove or encapsulate asbestos.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designer” </w:t>
      </w:r>
      <w:r>
        <w:rPr>
          <w:rFonts w:ascii="Times New Roman" w:hAnsi="Times New Roman"/>
          <w:b w:val="false"/>
          <w:i w:val="false"/>
          <w:color w:val="000000"/>
          <w:sz w:val="22"/>
        </w:rPr>
        <w:t>means a person who designs asbestos response or maintenance projects for a school or a public or commercial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“Worker” </w:t>
      </w:r>
      <w:r>
        <w:rPr>
          <w:rFonts w:ascii="Times New Roman" w:hAnsi="Times New Roman"/>
          <w:b w:val="false"/>
          <w:i w:val="false"/>
          <w:color w:val="000000"/>
          <w:sz w:val="22"/>
        </w:rPr>
        <w:t>means a person who performs response or maintenance activities on one or more asbestos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 through Friday including holidays that fall on Monday through Friday. The first working day shall be the date of actual delivery or the postmark date, whichever is earlier. However, documents with Saturday or Sunday postmark dates will be treated as though postmarked on the following Monday.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875—155.2</w:t>
      </w:r>
      <w:r>
        <w:rPr>
          <w:rFonts w:ascii="Times New Roman" w:hAnsi="Times New Roman"/>
          <w:b/>
          <w:i w:val="false"/>
          <w:color w:val="000000"/>
          <w:sz w:val="22"/>
        </w:rPr>
        <w:t xml:space="preserve">(88B) </w:t>
      </w:r>
      <w:r>
        <w:rPr>
          <w:rFonts w:ascii="Times New Roman" w:hAnsi="Times New Roman"/>
          <w:b/>
          <w:i w:val="false"/>
          <w:color w:val="000000"/>
          <w:sz w:val="22"/>
        </w:rPr>
        <w:t xml:space="preserve">Permit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To apply for or to renew a permit, a business entity shall complete and submit the form provided by the department. All requested applicable information and attachments must be provided. A $500 nonrefundable application fee shall accompany each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A new permit is valid for one year from the date of issuance. A renewal permit is valid for one year from the expiration date of the applicant’s prior permit. A permit may be denied for the reasons set forth in rule </w:t>
      </w:r>
      <w:hyperlink r:id="rId4">
        <w:r>
          <w:rPr>
            <w:rStyle w:val="Hyperlink"/>
            <w:rFonts w:ascii="Times New Roman" w:hAnsi="Times New Roman"/>
            <w:b w:val="false"/>
            <w:i w:val="false"/>
            <w:color w:val="000000"/>
            <w:sz w:val="22"/>
          </w:rPr>
          <w:t>875—155.8</w:t>
        </w:r>
      </w:hyperlink>
      <w:r>
        <w:rPr>
          <w:rFonts w:ascii="Times New Roman" w:hAnsi="Times New Roman"/>
          <w:b w:val="false"/>
          <w:i w:val="false"/>
          <w:color w:val="000000"/>
          <w:sz w:val="22"/>
        </w:rPr>
        <w:t>(17A,88B,252J,272D) or if the application package is incomplete. Within 60 days of receiving a completed application package for a new permit, the department will issue a permit or deny the application. Within 30 days of receiving a completed application package for a permit renewal, the department will issue a permit or deny the application. Applications received after expiration of a prior permit will be considered applications for new permits rather than renewals.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875—155.3</w:t>
      </w:r>
      <w:r>
        <w:rPr>
          <w:rFonts w:ascii="Times New Roman" w:hAnsi="Times New Roman"/>
          <w:b/>
          <w:i w:val="false"/>
          <w:color w:val="000000"/>
          <w:sz w:val="22"/>
        </w:rPr>
        <w:t xml:space="preserve">(88B) </w:t>
      </w:r>
      <w:r>
        <w:rPr>
          <w:rFonts w:ascii="Times New Roman" w:hAnsi="Times New Roman"/>
          <w:b/>
          <w:i w:val="false"/>
          <w:color w:val="000000"/>
          <w:sz w:val="22"/>
        </w:rPr>
        <w:t xml:space="preserve">Other asbestos regulations. </w:t>
      </w:r>
      <w:r>
        <w:rPr>
          <w:rFonts w:ascii="Times New Roman" w:hAnsi="Times New Roman"/>
          <w:b w:val="false"/>
          <w:i w:val="false"/>
          <w:color w:val="000000"/>
          <w:sz w:val="22"/>
        </w:rPr>
        <w:t xml:space="preserve">Regulation of encapsulation, removal and abatement procedures are found in 875—Chapters </w:t>
      </w:r>
      <w:hyperlink r:id="rId5">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Nothing in this chapter provides an exemption, waiver, or variance from any otherwise applicable regulation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875—155.4</w:t>
      </w:r>
      <w:r>
        <w:rPr>
          <w:rFonts w:ascii="Times New Roman" w:hAnsi="Times New Roman"/>
          <w:b/>
          <w:i w:val="false"/>
          <w:color w:val="000000"/>
          <w:sz w:val="22"/>
        </w:rPr>
        <w:t xml:space="preserve">(88B) </w:t>
      </w:r>
      <w:r>
        <w:rPr>
          <w:rFonts w:ascii="Times New Roman" w:hAnsi="Times New Roman"/>
          <w:b/>
          <w:i w:val="false"/>
          <w:color w:val="000000"/>
          <w:sz w:val="22"/>
        </w:rPr>
        <w:t xml:space="preserve">Asbestos project records. </w:t>
      </w:r>
      <w:r>
        <w:rPr>
          <w:rFonts w:ascii="Times New Roman" w:hAnsi="Times New Roman"/>
          <w:b w:val="false"/>
          <w:i w:val="false"/>
          <w:color w:val="000000"/>
          <w:sz w:val="22"/>
        </w:rPr>
        <w:t>The permittee shall keep a record of each asbestos project it performs and make the record available to the department at any reasonable time. Records required by this rule shall be kept for at least six years. These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155.4(1)</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individual who supervised the asbestos project and of each employee or agent who worked on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155.4(2)</w:t>
      </w:r>
      <w:r>
        <w:rPr>
          <w:rFonts w:ascii="Times New Roman" w:hAnsi="Times New Roman"/>
          <w:b w:val="false"/>
          <w:i w:val="false"/>
          <w:color w:val="000000"/>
          <w:sz w:val="22"/>
        </w:rPr>
        <w:t> </w:t>
      </w:r>
      <w:r>
        <w:rPr>
          <w:rFonts w:ascii="Times New Roman" w:hAnsi="Times New Roman"/>
          <w:b w:val="false"/>
          <w:i w:val="false"/>
          <w:color w:val="000000"/>
          <w:sz w:val="22"/>
        </w:rPr>
        <w:t>The location and a description of the project and the amount of asbestos material that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155.4(3)</w:t>
      </w:r>
      <w:r>
        <w:rPr>
          <w:rFonts w:ascii="Times New Roman" w:hAnsi="Times New Roman"/>
          <w:b w:val="false"/>
          <w:i w:val="false"/>
          <w:color w:val="000000"/>
          <w:sz w:val="22"/>
        </w:rPr>
        <w:t> </w:t>
      </w:r>
      <w:r>
        <w:rPr>
          <w:rFonts w:ascii="Times New Roman" w:hAnsi="Times New Roman"/>
          <w:b w:val="false"/>
          <w:i w:val="false"/>
          <w:color w:val="000000"/>
          <w:sz w:val="22"/>
        </w:rPr>
        <w:t>The start and completion dates of each instance of removal or encapsulation.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155.4(4)</w:t>
      </w:r>
      <w:r>
        <w:rPr>
          <w:rFonts w:ascii="Times New Roman" w:hAnsi="Times New Roman"/>
          <w:b w:val="false"/>
          <w:i w:val="false"/>
          <w:color w:val="000000"/>
          <w:sz w:val="22"/>
        </w:rPr>
        <w:t> </w:t>
      </w:r>
      <w:r>
        <w:rPr>
          <w:rFonts w:ascii="Times New Roman" w:hAnsi="Times New Roman"/>
          <w:b w:val="false"/>
          <w:i w:val="false"/>
          <w:color w:val="000000"/>
          <w:sz w:val="22"/>
        </w:rPr>
        <w:t>A summary of the procedures that were used to comply with all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asbestos disposal site where the asbestos-containing waste was deposited.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155.4(6)</w:t>
      </w:r>
      <w:r>
        <w:rPr>
          <w:rFonts w:ascii="Times New Roman" w:hAnsi="Times New Roman"/>
          <w:b w:val="false"/>
          <w:i w:val="false"/>
          <w:color w:val="000000"/>
          <w:sz w:val="22"/>
        </w:rPr>
        <w:t> </w:t>
      </w:r>
      <w:r>
        <w:rPr>
          <w:rFonts w:ascii="Times New Roman" w:hAnsi="Times New Roman"/>
          <w:b w:val="false"/>
          <w:i w:val="false"/>
          <w:color w:val="000000"/>
          <w:sz w:val="22"/>
        </w:rPr>
        <w:t>A receipt from the asbestos disposal site indicating the amount of asbestos and disposal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875—155.5</w:t>
      </w:r>
      <w:r>
        <w:rPr>
          <w:rFonts w:ascii="Times New Roman" w:hAnsi="Times New Roman"/>
          <w:b/>
          <w:i w:val="false"/>
          <w:color w:val="000000"/>
          <w:sz w:val="22"/>
        </w:rPr>
        <w:t xml:space="preserve">(88B) </w:t>
      </w:r>
      <w:r>
        <w:rPr>
          <w:rFonts w:ascii="Times New Roman" w:hAnsi="Times New Roman"/>
          <w:b/>
          <w:i w:val="false"/>
          <w:color w:val="000000"/>
          <w:sz w:val="22"/>
        </w:rPr>
        <w:t xml:space="preserve">Ten-day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Permittees shall notify the department at least ten working days before an asbestos project begins. A project begins when site preparations for asbestos abatement, encapsulation, or removal begin; when asbestos abatement, encapsulation, or removal begins; or when any demolition begins, whichever is soonest. Legible electronic transmissions of ten-day notices in the proper format will be accepted. If work on the asbestos-removal project does not commence within 30 calendar days of the original start date identified in the ten-day notice given by permittees to the department, a revised ten-day notice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155.5(2)</w:t>
      </w: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When there is an immediate danger to life, health or property, the permittee may file the notice within five days after beginning the project. An explanation of the emergency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155.5(3)</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notice shall be submitted online or be on an 8½″ by 11″ sheet of paper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contact person for the permittee performing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structure and work to be performed, including type and quantity of asbestos-containing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scheduled dates of the project’s start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Designation of the asbestos disposal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signature and printed name of the person who completed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shift or work schedule on which the project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155.5(4)</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structures that are both located in an area that is subject to a disaster emergency proclamation pursuant to Iowa Code section </w:t>
      </w:r>
      <w:hyperlink r:id="rId8">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permittee shall file the notice described by this rule as early as possible, but not later than the working day following the initiation of the project. A description of the disaster and the disaster emergency proclamation shall be included in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875—155.6</w:t>
      </w:r>
      <w:r>
        <w:rPr>
          <w:rFonts w:ascii="Times New Roman" w:hAnsi="Times New Roman"/>
          <w:b/>
          <w:i w:val="false"/>
          <w:color w:val="000000"/>
          <w:sz w:val="22"/>
        </w:rPr>
        <w:t xml:space="preserve">(88B) </w:t>
      </w:r>
      <w:r>
        <w:rPr>
          <w:rFonts w:ascii="Times New Roman" w:hAnsi="Times New Roman"/>
          <w:b/>
          <w:i w:val="false"/>
          <w:color w:val="000000"/>
          <w:sz w:val="22"/>
        </w:rPr>
        <w:t xml:space="preserve">License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 xml:space="preserve">Except as noted in this subrule, the applicant must complete and submit the entire form provided by the department with the necessary attachments. Respirator fit tests and medical examinations must have occurred within the past 12 months. Only worker and contractor/supervisor license applicants must submit the respiratory protection and physician’s or physician assistant’s certification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A certificate of appropriate training as established by the U.S. Environmental Protection Agency must accompany all applications. Applicants for a license must be trained by training providers other than themselves. Applicants who completed initial training under a prior set of applicable rules will not be required to take another initial training course if they complete all annual refresher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155.6(3)</w:t>
      </w:r>
      <w:r>
        <w:rPr>
          <w:rFonts w:ascii="Times New Roman" w:hAnsi="Times New Roman"/>
          <w:b w:val="false"/>
          <w:i w:val="false"/>
          <w:color w:val="000000"/>
          <w:sz w:val="22"/>
        </w:rPr>
        <w:t> </w:t>
      </w:r>
      <w:r>
        <w:rPr>
          <w:rFonts w:ascii="Times New Roman" w:hAnsi="Times New Roman"/>
          <w:b w:val="false"/>
          <w:i/>
          <w:color w:val="000000"/>
          <w:sz w:val="22"/>
        </w:rPr>
        <w:t xml:space="preserve">Photograph. </w:t>
      </w:r>
      <w:r>
        <w:rPr>
          <w:rFonts w:ascii="Times New Roman" w:hAnsi="Times New Roman"/>
          <w:b w:val="false"/>
          <w:i w:val="false"/>
          <w:color w:val="000000"/>
          <w:sz w:val="22"/>
        </w:rPr>
        <w:t>A photograph clearly showing the applicant’s face shall accompany all license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155.6(4)</w:t>
      </w:r>
      <w:r>
        <w:rPr>
          <w:rFonts w:ascii="Times New Roman" w:hAnsi="Times New Roman"/>
          <w:b w:val="false"/>
          <w:i w:val="false"/>
          <w:color w:val="000000"/>
          <w:sz w:val="22"/>
        </w:rPr>
        <w:t> </w:t>
      </w:r>
      <w:r>
        <w:rPr>
          <w:rFonts w:ascii="Times New Roman" w:hAnsi="Times New Roman"/>
          <w:b w:val="false"/>
          <w:i/>
          <w:color w:val="000000"/>
          <w:sz w:val="22"/>
        </w:rPr>
        <w:t xml:space="preserve">Worker licenses. </w:t>
      </w:r>
      <w:r>
        <w:rPr>
          <w:rFonts w:ascii="Times New Roman" w:hAnsi="Times New Roman"/>
          <w:b w:val="false"/>
          <w:i w:val="false"/>
          <w:color w:val="000000"/>
          <w:sz w:val="22"/>
        </w:rPr>
        <w:t>All persons seeking a license as an asbestos abatement worker shall complete an initial four-day training course and thereafter complete an annual one-day asbestos abatement worker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155.6(5)</w:t>
      </w:r>
      <w:r>
        <w:rPr>
          <w:rFonts w:ascii="Times New Roman" w:hAnsi="Times New Roman"/>
          <w:b w:val="false"/>
          <w:i w:val="false"/>
          <w:color w:val="000000"/>
          <w:sz w:val="22"/>
        </w:rPr>
        <w:t> </w:t>
      </w:r>
      <w:r>
        <w:rPr>
          <w:rFonts w:ascii="Times New Roman" w:hAnsi="Times New Roman"/>
          <w:b w:val="false"/>
          <w:i/>
          <w:color w:val="000000"/>
          <w:sz w:val="22"/>
        </w:rPr>
        <w:t xml:space="preserve">Contractor/supervisor licenses. </w:t>
      </w:r>
      <w:r>
        <w:rPr>
          <w:rFonts w:ascii="Times New Roman" w:hAnsi="Times New Roman"/>
          <w:b w:val="false"/>
          <w:i w:val="false"/>
          <w:color w:val="000000"/>
          <w:sz w:val="22"/>
        </w:rPr>
        <w:t>All persons seeking a license as an asbestos abatement contractor/supervisor shall complete an initial five-day training course and thereafter complete an annual one-day asbestos abatement contractor/supervisor refresher training course.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155.6(6)</w:t>
      </w:r>
      <w:r>
        <w:rPr>
          <w:rFonts w:ascii="Times New Roman" w:hAnsi="Times New Roman"/>
          <w:b w:val="false"/>
          <w:i w:val="false"/>
          <w:color w:val="000000"/>
          <w:sz w:val="22"/>
        </w:rPr>
        <w:t> </w:t>
      </w:r>
      <w:r>
        <w:rPr>
          <w:rFonts w:ascii="Times New Roman" w:hAnsi="Times New Roman"/>
          <w:b w:val="false"/>
          <w:i/>
          <w:color w:val="000000"/>
          <w:sz w:val="22"/>
        </w:rPr>
        <w:t xml:space="preserve">Inspector licenses. </w:t>
      </w:r>
      <w:r>
        <w:rPr>
          <w:rFonts w:ascii="Times New Roman" w:hAnsi="Times New Roman"/>
          <w:b w:val="false"/>
          <w:i w:val="false"/>
          <w:color w:val="000000"/>
          <w:sz w:val="22"/>
        </w:rPr>
        <w:t>All persons seeking a license as an asbestos inspector shall complete an initial three-day training course and thereafter complete an annual one-half-day asbestos inspector refresher training course.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155.6(7)</w:t>
      </w:r>
      <w:r>
        <w:rPr>
          <w:rFonts w:ascii="Times New Roman" w:hAnsi="Times New Roman"/>
          <w:b w:val="false"/>
          <w:i w:val="false"/>
          <w:color w:val="000000"/>
          <w:sz w:val="22"/>
        </w:rPr>
        <w:t> </w:t>
      </w:r>
      <w:r>
        <w:rPr>
          <w:rFonts w:ascii="Times New Roman" w:hAnsi="Times New Roman"/>
          <w:b w:val="false"/>
          <w:i/>
          <w:color w:val="000000"/>
          <w:sz w:val="22"/>
        </w:rPr>
        <w:t xml:space="preserve">Management planner licenses. </w:t>
      </w:r>
      <w:r>
        <w:rPr>
          <w:rFonts w:ascii="Times New Roman" w:hAnsi="Times New Roman"/>
          <w:b w:val="false"/>
          <w:i w:val="false"/>
          <w:color w:val="000000"/>
          <w:sz w:val="22"/>
        </w:rPr>
        <w:t>All persons seeking a license as an asbestos management planner shall complete an initial three-day inspector training course and an initial two-day management planning training course. Thereafter, an annual one-half-day asbestos inspector refresher training course plus an additional one-half-day course on management planning are required. A nonrefundable fee of $20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155.6(8)</w:t>
      </w:r>
      <w:r>
        <w:rPr>
          <w:rFonts w:ascii="Times New Roman" w:hAnsi="Times New Roman"/>
          <w:b w:val="false"/>
          <w:i w:val="false"/>
          <w:color w:val="000000"/>
          <w:sz w:val="22"/>
        </w:rPr>
        <w:t> </w:t>
      </w:r>
      <w:r>
        <w:rPr>
          <w:rFonts w:ascii="Times New Roman" w:hAnsi="Times New Roman"/>
          <w:b w:val="false"/>
          <w:i/>
          <w:color w:val="000000"/>
          <w:sz w:val="22"/>
        </w:rPr>
        <w:t xml:space="preserve">Abatement project designer licenses. </w:t>
      </w:r>
      <w:r>
        <w:rPr>
          <w:rFonts w:ascii="Times New Roman" w:hAnsi="Times New Roman"/>
          <w:b w:val="false"/>
          <w:i w:val="false"/>
          <w:color w:val="000000"/>
          <w:sz w:val="22"/>
        </w:rPr>
        <w:t>All persons seeking a license as an asbestos abatement project designer shall complete an initial three-day abatement project designer training course. Thereafter, an annual one-day asbestos abatement project designer refresher training course is required. A nonrefundable fee of $50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155.6(9)</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r>
        <w:rPr>
          <w:rFonts w:ascii="Times New Roman" w:hAnsi="Times New Roman"/>
          <w:b w:val="false"/>
          <w:i w:val="false"/>
          <w:color w:val="000000"/>
          <w:sz w:val="22"/>
        </w:rPr>
        <w:t xml:space="preserve">Within 30 days of receiving a completed application, the department will issue a license or deny the application. If a license is issued, it will expire one year from the date the training was completed. An application may be denied for the reasons set forth in rule </w:t>
      </w:r>
      <w:hyperlink r:id="rId9">
        <w:r>
          <w:rPr>
            <w:rStyle w:val="Hyperlink"/>
            <w:rFonts w:ascii="Times New Roman" w:hAnsi="Times New Roman"/>
            <w:b w:val="false"/>
            <w:i w:val="false"/>
            <w:color w:val="000000"/>
            <w:sz w:val="22"/>
          </w:rPr>
          <w:t>875—155.8</w:t>
        </w:r>
      </w:hyperlink>
      <w:r>
        <w:rPr>
          <w:rFonts w:ascii="Times New Roman" w:hAnsi="Times New Roman"/>
          <w:b w:val="false"/>
          <w:i w:val="false"/>
          <w:color w:val="000000"/>
          <w:sz w:val="22"/>
        </w:rPr>
        <w:t>(17A,88B,252J,272D) or if the application package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155.6(10)</w:t>
      </w:r>
      <w:r>
        <w:rPr>
          <w:rFonts w:ascii="Times New Roman" w:hAnsi="Times New Roman"/>
          <w:b w:val="false"/>
          <w:i w:val="false"/>
          <w:color w:val="000000"/>
          <w:sz w:val="22"/>
        </w:rPr>
        <w:t> </w:t>
      </w:r>
      <w:r>
        <w:rPr>
          <w:rFonts w:ascii="Times New Roman" w:hAnsi="Times New Roman"/>
          <w:b w:val="false"/>
          <w:i/>
          <w:color w:val="000000"/>
          <w:sz w:val="22"/>
        </w:rPr>
        <w:t xml:space="preserve">License on job site. </w:t>
      </w:r>
      <w:r>
        <w:rPr>
          <w:rFonts w:ascii="Times New Roman" w:hAnsi="Times New Roman"/>
          <w:b w:val="false"/>
          <w:i w:val="false"/>
          <w:color w:val="000000"/>
          <w:sz w:val="22"/>
        </w:rPr>
        <w:t>While conducting asbestos work that requires a license, the license or a legible copy of the license shall be in the licensee’s possession at the work site. However, if the department’s website reflects that a license has been issued to a particular person, that person may perform work consistent with the type of license issued without the license or a copy of the license for up to 14 days from the issuance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155.6(11)</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work on structures that are both located in an area that is subject to a disaster emergency proclamation pursuant to Iowa Code section </w:t>
      </w:r>
      <w:hyperlink r:id="rId10">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director deems an individual to be licensed and authorized for asbestos abatement if all of the criteria in either paragraph </w:t>
      </w:r>
      <w:r>
        <w:rPr>
          <w:rFonts w:ascii="Times New Roman" w:hAnsi="Times New Roman"/>
          <w:b w:val="false"/>
          <w:i w:val="false"/>
          <w:color w:val="000000"/>
          <w:sz w:val="22"/>
        </w:rPr>
        <w:t>155.6(11)</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contractor, supervisor, or worker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that was provided within the past 12 months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physician’s or physician assistant’s statement indicating that a licensed physician or physician assistant has examined the individual within the past 12 months and approved the individual to work while wearing a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worker wearing or intending to wear a tight-fitting respirator, documentation of a respirator fit test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working as a project designer, inspector, or management planner makes the following immediately available on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for training as established by the U.S. Environmental Protection Agency and that pertains to the work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current asbestos license issued by another state that pertains to the type of work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 identification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875—155.7</w:t>
      </w:r>
      <w:r>
        <w:rPr>
          <w:rFonts w:ascii="Times New Roman" w:hAnsi="Times New Roman"/>
          <w:b/>
          <w:i w:val="false"/>
          <w:color w:val="000000"/>
          <w:sz w:val="22"/>
        </w:rPr>
        <w:t xml:space="preserve">(88B) </w:t>
      </w:r>
      <w:r>
        <w:rPr>
          <w:rFonts w:ascii="Times New Roman" w:hAnsi="Times New Roman"/>
          <w:b/>
          <w:i w:val="false"/>
          <w:color w:val="000000"/>
          <w:sz w:val="22"/>
        </w:rPr>
        <w:t xml:space="preserve">Duplicate permits and licenses. </w:t>
      </w:r>
      <w:r>
        <w:rPr>
          <w:rFonts w:ascii="Times New Roman" w:hAnsi="Times New Roman"/>
          <w:b w:val="false"/>
          <w:i w:val="false"/>
          <w:color w:val="000000"/>
          <w:sz w:val="22"/>
        </w:rPr>
        <w:t>Duplicate original permits and licenses are available from the department for a $10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875—155.8</w:t>
      </w:r>
      <w:r>
        <w:rPr>
          <w:rFonts w:ascii="Times New Roman" w:hAnsi="Times New Roman"/>
          <w:b/>
          <w:i w:val="false"/>
          <w:color w:val="000000"/>
          <w:sz w:val="22"/>
        </w:rPr>
        <w:t xml:space="preserve">(17A,88B,252J,272D) </w:t>
      </w:r>
      <w:r>
        <w:rPr>
          <w:rFonts w:ascii="Times New Roman" w:hAnsi="Times New Roman"/>
          <w:b/>
          <w:i w:val="false"/>
          <w:color w:val="000000"/>
          <w:sz w:val="22"/>
        </w:rPr>
        <w:t xml:space="preserve">Denial, suspension and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 xml:space="preserve">In addition to the grounds in Iowa Code section </w:t>
      </w:r>
      <w:hyperlink r:id="rId11">
        <w:r>
          <w:rPr>
            <w:rStyle w:val="Hyperlink"/>
            <w:rFonts w:ascii="Times New Roman" w:hAnsi="Times New Roman"/>
            <w:b w:val="false"/>
            <w:i w:val="false"/>
            <w:color w:val="000000"/>
            <w:sz w:val="22"/>
          </w:rPr>
          <w:t>88B.8</w:t>
        </w:r>
      </w:hyperlink>
      <w:r>
        <w:rPr>
          <w:rFonts w:ascii="Times New Roman" w:hAnsi="Times New Roman"/>
          <w:b w:val="false"/>
          <w:i w:val="false"/>
          <w:color w:val="000000"/>
          <w:sz w:val="22"/>
        </w:rPr>
        <w:t>, the department may deny an application or suspend or revoke a permit or license when an investigation reasonably determines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from the centralized collection unit of the department of revenue or the child support recovery unit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Penalties or other debts are owed by the applicant to the department and are 30 days or more in arrears.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155.8(2)</w:t>
      </w:r>
      <w:r>
        <w:rPr>
          <w:rFonts w:ascii="Times New Roman" w:hAnsi="Times New Roman"/>
          <w:b w:val="false"/>
          <w:i w:val="false"/>
          <w:color w:val="000000"/>
          <w:sz w:val="22"/>
        </w:rPr>
        <w:t> </w:t>
      </w:r>
      <w:r>
        <w:rPr>
          <w:rFonts w:ascii="Times New Roman" w:hAnsi="Times New Roman"/>
          <w:b w:val="false"/>
          <w:i/>
          <w:color w:val="000000"/>
          <w:sz w:val="22"/>
        </w:rPr>
        <w:t xml:space="preserve">Relinquishing license or permit. </w:t>
      </w:r>
      <w:r>
        <w:rPr>
          <w:rFonts w:ascii="Times New Roman" w:hAnsi="Times New Roman"/>
          <w:b w:val="false"/>
          <w:i w:val="false"/>
          <w:color w:val="000000"/>
          <w:sz w:val="22"/>
        </w:rPr>
        <w:t>A licensee or permittee must return the original license or permit to the department when a revocation or suspension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155.8(3)</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Unless ordered otherwise, a suspension lasts for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875—155.9</w:t>
      </w:r>
      <w:r>
        <w:rPr>
          <w:rFonts w:ascii="Times New Roman" w:hAnsi="Times New Roman"/>
          <w:b/>
          <w:i w:val="false"/>
          <w:color w:val="000000"/>
          <w:sz w:val="22"/>
        </w:rPr>
        <w:t xml:space="preserve">(17A,88B)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applies to civil penalty assessments and to denials, revocations and suspensions of asbestos licenses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director shall serve a notice of intended action by restricted certified mail, return receipt requested, or by other service as permitted by Iowa Code section </w:t>
      </w:r>
      <w:hyperlink r:id="rId12">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A notice of contest must be received by the director within 20 days after service of the notice of intended action. If a notice of contest is not timely filed, the action stated in the notice of intended action shall automatically be effective. Hearing procedures for asbestos contested cases are set forth in </w:t>
      </w:r>
      <w:hyperlink r:id="rId13">
        <w:r>
          <w:rPr>
            <w:rStyle w:val="Hyperlink"/>
            <w:rFonts w:ascii="Times New Roman" w:hAnsi="Times New Roman"/>
            <w:b w:val="false"/>
            <w:i w:val="false"/>
            <w:color w:val="000000"/>
            <w:sz w:val="22"/>
          </w:rPr>
          <w:t>875—Chapter 1</w:t>
        </w:r>
      </w:hyperlink>
      <w:r>
        <w:rPr>
          <w:rFonts w:ascii="Times New Roman" w:hAnsi="Times New Roman"/>
          <w:b w:val="false"/>
          <w:i w:val="false"/>
          <w:color w:val="000000"/>
          <w:sz w:val="22"/>
        </w:rPr>
        <w:t xml:space="preserve">, Division V. However, if a contested case is based on receipt by the department of a certificate of noncompliance, procedures outlined in Iowa Code chapter </w:t>
      </w:r>
      <w:hyperlink r:id="rId1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88B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3/22/85, Notice 11/7/84—published 4/10/85, effective 5/15/85]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4/27/88, Notice 12/30/87—published 5/18/88, effective 7/1/88]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emergency 5/25/89—published 6/14/89, effective 7/1/89]</w:t>
      </w:r>
    </w:p>
    <w:p>
      <w:pPr>
        <w:spacing w:before="0" w:after="0"/>
        <w:ind w:left="120"/>
        <w:jc w:val="center"/>
      </w:pPr>
      <w:r>
        <w:rPr>
          <w:rFonts w:ascii="Times New Roman" w:hAnsi="Times New Roman"/>
          <w:b w:val="false"/>
          <w:i w:val="false"/>
          <w:color w:val="000000"/>
          <w:sz w:val="21"/>
        </w:rPr>
        <w:t>[Filed 10/26/89, Notice 6/14/89—published 11/15/89, effective 12/29/89]</w:t>
      </w:r>
    </w:p>
    <w:p>
      <w:pPr>
        <w:spacing w:before="0" w:after="0"/>
        <w:ind w:left="120"/>
        <w:jc w:val="center"/>
      </w:pPr>
      <w:r>
        <w:rPr>
          <w:rFonts w:ascii="Times New Roman" w:hAnsi="Times New Roman"/>
          <w:b w:val="false"/>
          <w:i w:val="false"/>
          <w:color w:val="000000"/>
          <w:sz w:val="21"/>
        </w:rPr>
        <w:t>[Filed 4/19/91, Notices 12/26/90, 1/23/91—published 5/15/91, effective 6/19/91]</w:t>
      </w:r>
    </w:p>
    <w:p>
      <w:pPr>
        <w:spacing w:before="0" w:after="0"/>
        <w:ind w:left="120"/>
        <w:jc w:val="center"/>
      </w:pPr>
      <w:r>
        <w:rPr>
          <w:rFonts w:ascii="Times New Roman" w:hAnsi="Times New Roman"/>
          <w:b w:val="false"/>
          <w:i w:val="false"/>
          <w:color w:val="000000"/>
          <w:sz w:val="21"/>
        </w:rPr>
        <w:t>[Filed 9/19/00, Notice 3/22/00—published 10/18/00, effective 11/22/00]</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6288C</w:t>
      </w:r>
      <w:r>
        <w:rPr>
          <w:rFonts w:ascii="Times New Roman" w:hAnsi="Times New Roman"/>
          <w:b w:val="false"/>
          <w:i w:val="false"/>
          <w:color w:val="000000"/>
          <w:sz w:val="21"/>
        </w:rPr>
        <w:t xml:space="preserve"> (Notice ARC 6173C,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8834C</w:t>
      </w:r>
      <w:r>
        <w:rPr>
          <w:rFonts w:ascii="Times New Roman" w:hAnsi="Times New Roman"/>
          <w:b w:val="false"/>
          <w:i w:val="false"/>
          <w:color w:val="000000"/>
          <w:sz w:val="21"/>
        </w:rPr>
        <w:t xml:space="preserve"> (Notice ARC 8376C,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Effective date of Ch 81 delayed seventy days by the Administrative Rules Review Committee.</w:t>
      </w:r>
      <w:r>
        <w:br/>
      </w:r>
      <w:r>
        <w:rPr>
          <w:rFonts w:ascii="Times New Roman" w:hAnsi="Times New Roman"/>
          <w:b w:val="false"/>
          <w:i w:val="false"/>
          <w:color w:val="000000"/>
          <w:sz w:val="22"/>
        </w:rPr>
        <w:t>Exception: See rule 82.11(88B).</w:t>
      </w:r>
      <w:r>
        <w:br/>
      </w:r>
      <w:r>
        <w:rPr>
          <w:rFonts w:ascii="Times New Roman" w:hAnsi="Times New Roman"/>
          <w:b w:val="false"/>
          <w:i w:val="false"/>
          <w:color w:val="000000"/>
          <w:sz w:val="22"/>
        </w:rPr>
        <w:t>Effective date of Ch 82 delayed seventy days by the Administrative Rules Review Committee, IAB 6/5/85.</w:t>
      </w:r>
      <w:r>
        <w:br/>
      </w:r>
      <w:r>
        <w:rPr>
          <w:rFonts w:ascii="Times New Roman" w:hAnsi="Times New Roman"/>
          <w:b w:val="false"/>
          <w:i w:val="false"/>
          <w:color w:val="000000"/>
          <w:sz w:val="22"/>
        </w:rPr>
        <w:t>Effective date (5/15/85) of 82.3(1)</w:t>
      </w:r>
      <w:r>
        <w:rPr>
          <w:rFonts w:ascii="Times New Roman" w:hAnsi="Times New Roman"/>
          <w:b w:val="false"/>
          <w:i/>
          <w:color w:val="000000"/>
          <w:sz w:val="22"/>
        </w:rPr>
        <w:t>“a”</w:t>
      </w:r>
      <w:r>
        <w:rPr>
          <w:rFonts w:ascii="Times New Roman" w:hAnsi="Times New Roman"/>
          <w:b w:val="false"/>
          <w:i w:val="false"/>
          <w:color w:val="000000"/>
          <w:sz w:val="22"/>
        </w:rPr>
        <w:t xml:space="preserve">(11) delayed by the Administrative Rules Review Committee until the expiration of forty-five calendar days into the 1986 session of the General Assembly pursuant to Iowa Code section </w:t>
      </w:r>
      <w:hyperlink r:id="rId20">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7/31/85.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155.8.pdf" Type="http://schemas.openxmlformats.org/officeDocument/2006/relationships/hyperlink" Id="rId4"/>
    <Relationship TargetMode="External" Target="https://www.legis.iowa.gov/docs/iac/chapter/875.10.pdf" Type="http://schemas.openxmlformats.org/officeDocument/2006/relationships/hyperlink" Id="rId5"/>
    <Relationship TargetMode="External" Target="https://www.legis.iowa.gov/docs/iac/chapter/875.26.pdf" Type="http://schemas.openxmlformats.org/officeDocument/2006/relationships/hyperlink" Id="rId6"/>
    <Relationship TargetMode="External" Target="https://www.legis.iowa.gov/docs/iac/chapter/567.23.pdf" Type="http://schemas.openxmlformats.org/officeDocument/2006/relationships/hyperlink" Id="rId7"/>
    <Relationship TargetMode="External" Target="https://www.legis.iowa.gov/docs/ico/chapter/29C.pdf" Type="http://schemas.openxmlformats.org/officeDocument/2006/relationships/hyperlink" Id="rId8"/>
    <Relationship TargetMode="External" Target="https://www.legis.iowa.gov/docs/iac/rule/875.155.8.pdf" Type="http://schemas.openxmlformats.org/officeDocument/2006/relationships/hyperlink" Id="rId9"/>
    <Relationship TargetMode="External" Target="https://www.legis.iowa.gov/docs/ico/chapter/29C.pdf" Type="http://schemas.openxmlformats.org/officeDocument/2006/relationships/hyperlink" Id="rId10"/>
    <Relationship TargetMode="External" Target="https://www.legis.iowa.gov/docs/ico/chapter/88B.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ac/chapter/875.1.pdf" Type="http://schemas.openxmlformats.org/officeDocument/2006/relationships/hyperlink" Id="rId13"/>
    <Relationship TargetMode="External" Target="https://www.legis.iowa.gov/docs/ico/chapter/252J.pdf" Type="http://schemas.openxmlformats.org/officeDocument/2006/relationships/hyperlink" Id="rId14"/>
    <Relationship TargetMode="External" Target="https://www.legis.iowa.gov/docs/ico/chapter/272D.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88B.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272D.pdf" Type="http://schemas.openxmlformats.org/officeDocument/2006/relationships/hyperlink" Id="rId19"/>
    <Relationship TargetMode="External" Target="https://www.legis.iowa.gov/docs/ico/chapter/17A.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