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CONSTRUCTION—REGISTRATION AND BONDING</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150</w:t>
      </w:r>
    </w:p>
    <w:p>
      <w:pPr>
        <w:spacing w:before="0" w:after="0"/>
        <w:ind w:left="120"/>
        <w:jc w:val="center"/>
      </w:pPr>
      <w:r>
        <w:rPr>
          <w:rFonts w:ascii="Times New Roman" w:hAnsi="Times New Roman"/>
          <w:b w:val="false"/>
          <w:i w:val="false"/>
          <w:color w:val="000000"/>
          <w:sz w:val="21"/>
        </w:rPr>
        <w:t>CONSTRUCTION CONTRACTOR REGISTRATION</w:t>
      </w:r>
    </w:p>
    <w:p>
      <w:pPr>
        <w:spacing w:before="0" w:after="0"/>
        <w:ind w:left="120"/>
        <w:jc w:val="center"/>
      </w:pPr>
      <w:r>
        <w:rPr>
          <w:rFonts w:ascii="Times New Roman" w:hAnsi="Times New Roman"/>
          <w:b w:val="false"/>
          <w:i w:val="false"/>
          <w:color w:val="000000"/>
          <w:sz w:val="14"/>
        </w:rPr>
        <w:t>[Prior to 10/21/98, see 347—Ch 150]</w:t>
      </w:r>
    </w:p>
    <w:p>
      <w:pPr>
        <w:spacing w:before="0" w:after="0"/>
        <w:ind w:left="120"/>
        <w:jc w:val="both"/>
      </w:pPr>
      <w:r>
        <w:rPr>
          <w:rFonts w:ascii="Times New Roman" w:hAnsi="Times New Roman"/>
          <w:b/>
          <w:i w:val="false"/>
          <w:color w:val="000000"/>
          <w:sz w:val="22"/>
        </w:rPr>
        <w:t>875—150.1</w:t>
      </w:r>
      <w:r>
        <w:rPr>
          <w:rFonts w:ascii="Times New Roman" w:hAnsi="Times New Roman"/>
          <w:b/>
          <w:i w:val="false"/>
          <w:color w:val="000000"/>
          <w:sz w:val="22"/>
        </w:rPr>
        <w:t xml:space="preserve">(91C)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This chapter implements Iowa Code chapter </w:t>
      </w:r>
      <w:hyperlink r:id="rId4">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 The rules in this chapter apply to all construction contractors, except for a person who earns less than $2,000 annually or who performs work or has work performed on the person’s own property.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875—150.2</w:t>
      </w:r>
      <w:r>
        <w:rPr>
          <w:rFonts w:ascii="Times New Roman" w:hAnsi="Times New Roman"/>
          <w:b/>
          <w:i w:val="false"/>
          <w:color w:val="000000"/>
          <w:sz w:val="22"/>
        </w:rPr>
        <w:t xml:space="preserve">(91C)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 xml:space="preserve">means new work, additions, alterations, reconstruction, installations, repairs and demolitions. Construction activities are generally administered or managed from a relatively fixed place of business, but the actual construction work is performed at one or more different sites that may be dispersed geographically. Examples of construction activities, adopted by reference, are in rule </w:t>
      </w:r>
      <w:hyperlink r:id="rId5">
        <w:r>
          <w:rPr>
            <w:rStyle w:val="Hyperlink"/>
            <w:rFonts w:ascii="Times New Roman" w:hAnsi="Times New Roman"/>
            <w:b w:val="false"/>
            <w:i w:val="false"/>
            <w:color w:val="000000"/>
            <w:sz w:val="22"/>
          </w:rPr>
          <w:t>871—23.82</w:t>
        </w:r>
      </w:hyperlink>
      <w:r>
        <w:rPr>
          <w:rFonts w:ascii="Times New Roman" w:hAnsi="Times New Roman"/>
          <w:b w:val="false"/>
          <w:i w:val="false"/>
          <w:color w:val="000000"/>
          <w:sz w:val="22"/>
        </w:rPr>
        <w:t>(96) for purposes of the Iowa employment security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“Contractor” </w:t>
      </w:r>
      <w:r>
        <w:rPr>
          <w:rFonts w:ascii="Times New Roman" w:hAnsi="Times New Roman"/>
          <w:b w:val="false"/>
          <w:i w:val="false"/>
          <w:color w:val="000000"/>
          <w:sz w:val="22"/>
        </w:rPr>
        <w:t xml:space="preserve">means a person who engages in the business of construction as the term is defined in rule </w:t>
      </w:r>
      <w:hyperlink r:id="rId6">
        <w:r>
          <w:rPr>
            <w:rStyle w:val="Hyperlink"/>
            <w:rFonts w:ascii="Times New Roman" w:hAnsi="Times New Roman"/>
            <w:b w:val="false"/>
            <w:i w:val="false"/>
            <w:color w:val="000000"/>
            <w:sz w:val="22"/>
          </w:rPr>
          <w:t>871—23.82</w:t>
        </w:r>
      </w:hyperlink>
      <w:r>
        <w:rPr>
          <w:rFonts w:ascii="Times New Roman" w:hAnsi="Times New Roman"/>
          <w:b w:val="false"/>
          <w:i w:val="false"/>
          <w:color w:val="000000"/>
          <w:sz w:val="22"/>
        </w:rPr>
        <w:t>(96), for purposes of the Iowa employment security law, including subcontractors and special trade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inspections, appeals, and licensing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“File” </w:t>
      </w:r>
      <w:r>
        <w:rPr>
          <w:rFonts w:ascii="Times New Roman" w:hAnsi="Times New Roman"/>
          <w:b w:val="false"/>
          <w:i w:val="false"/>
          <w:color w:val="000000"/>
          <w:sz w:val="22"/>
        </w:rPr>
        <w:t>means deliver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“Out-of-state contractor” </w:t>
      </w:r>
      <w:r>
        <w:rPr>
          <w:rFonts w:ascii="Times New Roman" w:hAnsi="Times New Roman"/>
          <w:b w:val="false"/>
          <w:i w:val="false"/>
          <w:color w:val="000000"/>
          <w:sz w:val="22"/>
        </w:rPr>
        <w:t>means a contractor whose principal place of business is in another state, and who contracts to perform construction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“Principal place of business” </w:t>
      </w:r>
      <w:r>
        <w:rPr>
          <w:rFonts w:ascii="Times New Roman" w:hAnsi="Times New Roman"/>
          <w:b w:val="false"/>
          <w:i w:val="false"/>
          <w:color w:val="000000"/>
          <w:sz w:val="22"/>
        </w:rPr>
        <w:t>means the state in which a substantial part of the contractor’s business is transacted and from which the centralized supervision is exercised. Factors to be reviewed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State designated as home office on documents filed with governmental agencies.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State where payroll is prepared.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State where business transactions are performed.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State where officers, owners, or partners reside and work.</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State in which bank accounts are located.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State in which fixed business property is located.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State where management decisions are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“Same phase of construction” </w:t>
      </w:r>
      <w:r>
        <w:rPr>
          <w:rFonts w:ascii="Times New Roman" w:hAnsi="Times New Roman"/>
          <w:b w:val="false"/>
          <w:i w:val="false"/>
          <w:color w:val="000000"/>
          <w:sz w:val="22"/>
        </w:rPr>
        <w:t>means in the same type of construction operations or trade, such as but not limited to electrical work; masonry, stonework, tile setting and plastering; roofing; sheet metal work; excavation work; concrete work; glasswork; painting, paper hanging and decorating; plumbing, heating and air conditioning work; carpentry work; and miscellaneous special trade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“Working days” </w:t>
      </w:r>
      <w:r>
        <w:rPr>
          <w:rFonts w:ascii="Times New Roman" w:hAnsi="Times New Roman"/>
          <w:b w:val="false"/>
          <w:i w:val="false"/>
          <w:color w:val="000000"/>
          <w:sz w:val="22"/>
        </w:rPr>
        <w:t>means Mondays through Fridays but not Saturdays, Sundays or federal or state holidays. In computing 15 working days, the day of receipt of any notice is not to be included, and the last day of the 15 working days is included.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875—150.3</w:t>
      </w:r>
      <w:r>
        <w:rPr>
          <w:rFonts w:ascii="Times New Roman" w:hAnsi="Times New Roman"/>
          <w:b/>
          <w:i w:val="false"/>
          <w:color w:val="000000"/>
          <w:sz w:val="22"/>
        </w:rPr>
        <w:t xml:space="preserve">(91C) </w:t>
      </w:r>
      <w:r>
        <w:rPr>
          <w:rFonts w:ascii="Times New Roman" w:hAnsi="Times New Roman"/>
          <w:b/>
          <w:i w:val="false"/>
          <w:color w:val="000000"/>
          <w:sz w:val="22"/>
        </w:rPr>
        <w:t xml:space="preserve">Registration required. </w:t>
      </w:r>
      <w:r>
        <w:rPr>
          <w:rFonts w:ascii="Times New Roman" w:hAnsi="Times New Roman"/>
          <w:b w:val="false"/>
          <w:i w:val="false"/>
          <w:color w:val="000000"/>
          <w:sz w:val="22"/>
        </w:rPr>
        <w:t>Before performing any construction work in this state, a contractor shall be registered with the department. A joint venture is an independent entity and is registered independently.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875—150.4</w:t>
      </w:r>
      <w:r>
        <w:rPr>
          <w:rFonts w:ascii="Times New Roman" w:hAnsi="Times New Roman"/>
          <w:b/>
          <w:i w:val="false"/>
          <w:color w:val="000000"/>
          <w:sz w:val="22"/>
        </w:rPr>
        <w:t xml:space="preserve">(91C) </w:t>
      </w:r>
      <w:r>
        <w:rPr>
          <w:rFonts w:ascii="Times New Roman" w:hAnsi="Times New Roman"/>
          <w:b/>
          <w:i w:val="false"/>
          <w:color w:val="000000"/>
          <w:sz w:val="22"/>
        </w:rPr>
        <w:t xml:space="preserve">Application. </w:t>
      </w:r>
      <w:r>
        <w:rPr>
          <w:rFonts w:ascii="Times New Roman" w:hAnsi="Times New Roman"/>
          <w:b w:val="false"/>
          <w:i w:val="false"/>
          <w:color w:val="000000"/>
          <w:sz w:val="22"/>
        </w:rPr>
        <w:t xml:space="preserve">A contractor that is covered by the license requirements of Iowa Code chapter </w:t>
      </w:r>
      <w:hyperlink r:id="rId7">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applies for a contractor registration number by using the application system of the Iowa plumbing and mechanical systems board. All other contractors file an application with the department on forms provided by the department. The application contains the applicable information and documents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150.4(1)</w:t>
      </w:r>
      <w:r>
        <w:rPr>
          <w:rFonts w:ascii="Times New Roman" w:hAnsi="Times New Roman"/>
          <w:b w:val="false"/>
          <w:i w:val="false"/>
          <w:color w:val="000000"/>
          <w:sz w:val="22"/>
        </w:rPr>
        <w:t> </w:t>
      </w:r>
      <w:r>
        <w:rPr>
          <w:rFonts w:ascii="Times New Roman" w:hAnsi="Times New Roman"/>
          <w:b w:val="false"/>
          <w:i/>
          <w:color w:val="000000"/>
          <w:sz w:val="22"/>
        </w:rPr>
        <w:t xml:space="preserve">Name. </w:t>
      </w:r>
      <w:r>
        <w:rPr>
          <w:rFonts w:ascii="Times New Roman" w:hAnsi="Times New Roman"/>
          <w:b w:val="false"/>
          <w:i w:val="false"/>
          <w:color w:val="000000"/>
          <w:sz w:val="22"/>
        </w:rPr>
        <w:t>The name of the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150.4(2)</w:t>
      </w:r>
      <w:r>
        <w:rPr>
          <w:rFonts w:ascii="Times New Roman" w:hAnsi="Times New Roman"/>
          <w:b w:val="false"/>
          <w:i w:val="false"/>
          <w:color w:val="000000"/>
          <w:sz w:val="22"/>
        </w:rPr>
        <w:t> </w:t>
      </w:r>
      <w:r>
        <w:rPr>
          <w:rFonts w:ascii="Times New Roman" w:hAnsi="Times New Roman"/>
          <w:b w:val="false"/>
          <w:i/>
          <w:color w:val="000000"/>
          <w:sz w:val="22"/>
        </w:rPr>
        <w:t xml:space="preserve">Place of business. </w:t>
      </w:r>
      <w:r>
        <w:rPr>
          <w:rFonts w:ascii="Times New Roman" w:hAnsi="Times New Roman"/>
          <w:b w:val="false"/>
          <w:i w:val="false"/>
          <w:color w:val="000000"/>
          <w:sz w:val="22"/>
        </w:rPr>
        <w:t>The complete mailing address of the principal place of business of the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150.4(3)</w:t>
      </w:r>
      <w:r>
        <w:rPr>
          <w:rFonts w:ascii="Times New Roman" w:hAnsi="Times New Roman"/>
          <w:b w:val="false"/>
          <w:i w:val="false"/>
          <w:color w:val="000000"/>
          <w:sz w:val="22"/>
        </w:rPr>
        <w:t> </w:t>
      </w:r>
      <w:r>
        <w:rPr>
          <w:rFonts w:ascii="Times New Roman" w:hAnsi="Times New Roman"/>
          <w:b w:val="false"/>
          <w:i/>
          <w:color w:val="000000"/>
          <w:sz w:val="22"/>
        </w:rPr>
        <w:t xml:space="preserve">Telephone number. </w:t>
      </w:r>
      <w:r>
        <w:rPr>
          <w:rFonts w:ascii="Times New Roman" w:hAnsi="Times New Roman"/>
          <w:b w:val="false"/>
          <w:i w:val="false"/>
          <w:color w:val="000000"/>
          <w:sz w:val="22"/>
        </w:rPr>
        <w:t>The business telephone number of the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150.4(4)</w:t>
      </w:r>
      <w:r>
        <w:rPr>
          <w:rFonts w:ascii="Times New Roman" w:hAnsi="Times New Roman"/>
          <w:b w:val="false"/>
          <w:i w:val="false"/>
          <w:color w:val="000000"/>
          <w:sz w:val="22"/>
        </w:rPr>
        <w:t> </w:t>
      </w:r>
      <w:r>
        <w:rPr>
          <w:rFonts w:ascii="Times New Roman" w:hAnsi="Times New Roman"/>
          <w:b w:val="false"/>
          <w:i/>
          <w:color w:val="000000"/>
          <w:sz w:val="22"/>
        </w:rPr>
        <w:t xml:space="preserve">Business classification. </w:t>
      </w:r>
      <w:r>
        <w:rPr>
          <w:rFonts w:ascii="Times New Roman" w:hAnsi="Times New Roman"/>
          <w:b w:val="false"/>
          <w:i w:val="false"/>
          <w:color w:val="000000"/>
          <w:sz w:val="22"/>
        </w:rPr>
        <w:t>The type of business entity of the contractor (e.g., corporation, partnership, sole proprietorship, trust, etc.).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150.4(5)</w:t>
      </w:r>
      <w:r>
        <w:rPr>
          <w:rFonts w:ascii="Times New Roman" w:hAnsi="Times New Roman"/>
          <w:b w:val="false"/>
          <w:i w:val="false"/>
          <w:color w:val="000000"/>
          <w:sz w:val="22"/>
        </w:rPr>
        <w:t> </w:t>
      </w:r>
      <w:r>
        <w:rPr>
          <w:rFonts w:ascii="Times New Roman" w:hAnsi="Times New Roman"/>
          <w:b w:val="false"/>
          <w:i/>
          <w:color w:val="000000"/>
          <w:sz w:val="22"/>
        </w:rPr>
        <w:t xml:space="preserve">Ownership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contractor is a corporation, the name, address, telephone number, and position of each officer of the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contractor is other than a corporation, the name, address, and telephone number of each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150.4(6)</w:t>
      </w:r>
      <w:r>
        <w:rPr>
          <w:rFonts w:ascii="Times New Roman" w:hAnsi="Times New Roman"/>
          <w:b w:val="false"/>
          <w:i w:val="false"/>
          <w:color w:val="000000"/>
          <w:sz w:val="22"/>
        </w:rPr>
        <w:t> </w:t>
      </w:r>
      <w:r>
        <w:rPr>
          <w:rFonts w:ascii="Times New Roman" w:hAnsi="Times New Roman"/>
          <w:b w:val="false"/>
          <w:i/>
          <w:color w:val="000000"/>
          <w:sz w:val="22"/>
        </w:rPr>
        <w:t xml:space="preserve">Workers’ compensation coverage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certificate of insurance from the insurer showing proof of workers’ compensation insurance, the effective dates of coverage, and listing the department of inspections, appeals, and licensing as a certificate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Employer’s release from the insurance requirements under workers’ compensation law form provided to self-insured employers by the commissioner of insurance under Iowa Code section </w:t>
      </w:r>
      <w:hyperlink r:id="rId8">
        <w:r>
          <w:rPr>
            <w:rStyle w:val="Hyperlink"/>
            <w:rFonts w:ascii="Times New Roman" w:hAnsi="Times New Roman"/>
            <w:b w:val="false"/>
            <w:i w:val="false"/>
            <w:color w:val="000000"/>
            <w:sz w:val="22"/>
          </w:rPr>
          <w:t>87.11</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that the contractor is not required to carry workers’ compensation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150.4(7)</w:t>
      </w:r>
      <w:r>
        <w:rPr>
          <w:rFonts w:ascii="Times New Roman" w:hAnsi="Times New Roman"/>
          <w:b w:val="false"/>
          <w:i w:val="false"/>
          <w:color w:val="000000"/>
          <w:sz w:val="22"/>
        </w:rPr>
        <w:t> </w:t>
      </w:r>
      <w:r>
        <w:rPr>
          <w:rFonts w:ascii="Times New Roman" w:hAnsi="Times New Roman"/>
          <w:b w:val="false"/>
          <w:i/>
          <w:color w:val="000000"/>
          <w:sz w:val="22"/>
        </w:rPr>
        <w:t xml:space="preserve">Account number. </w:t>
      </w:r>
      <w:r>
        <w:rPr>
          <w:rFonts w:ascii="Times New Roman" w:hAnsi="Times New Roman"/>
          <w:b w:val="false"/>
          <w:i w:val="false"/>
          <w:color w:val="000000"/>
          <w:sz w:val="22"/>
        </w:rPr>
        <w:t>The employer account number issued by the unemployment insurance services division of the workforce development department before the contractor applies for a contractor registration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150.4(8)</w:t>
      </w:r>
      <w:r>
        <w:rPr>
          <w:rFonts w:ascii="Times New Roman" w:hAnsi="Times New Roman"/>
          <w:b w:val="false"/>
          <w:i w:val="false"/>
          <w:color w:val="000000"/>
          <w:sz w:val="22"/>
        </w:rPr>
        <w:t> </w:t>
      </w:r>
      <w:r>
        <w:rPr>
          <w:rFonts w:ascii="Times New Roman" w:hAnsi="Times New Roman"/>
          <w:b w:val="false"/>
          <w:i/>
          <w:color w:val="000000"/>
          <w:sz w:val="22"/>
        </w:rPr>
        <w:t xml:space="preserve">Business description. </w:t>
      </w:r>
      <w:r>
        <w:rPr>
          <w:rFonts w:ascii="Times New Roman" w:hAnsi="Times New Roman"/>
          <w:b w:val="false"/>
          <w:i w:val="false"/>
          <w:color w:val="000000"/>
          <w:sz w:val="22"/>
        </w:rPr>
        <w:t>A description of the business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employer’s North American Industry Classification System (NAICS) code;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principal products and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150.4(9)</w:t>
      </w:r>
      <w:r>
        <w:rPr>
          <w:rFonts w:ascii="Times New Roman" w:hAnsi="Times New Roman"/>
          <w:b w:val="false"/>
          <w:i w:val="false"/>
          <w:color w:val="000000"/>
          <w:sz w:val="22"/>
        </w:rPr>
        <w:t> </w:t>
      </w:r>
      <w:r>
        <w:rPr>
          <w:rFonts w:ascii="Times New Roman" w:hAnsi="Times New Roman"/>
          <w:b w:val="false"/>
          <w:i/>
          <w:color w:val="000000"/>
          <w:sz w:val="22"/>
        </w:rPr>
        <w:t xml:space="preserve">Fee or fee exemption. </w:t>
      </w:r>
      <w:r>
        <w:rPr>
          <w:rFonts w:ascii="Times New Roman" w:hAnsi="Times New Roman"/>
          <w:b w:val="false"/>
          <w:i w:val="false"/>
          <w:color w:val="000000"/>
          <w:sz w:val="22"/>
        </w:rPr>
        <w:t>A contractor who is eligible to register without paying a fee shall submit a completed fee exemption form. All other contractors must submit the nonrefundable fee as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standard fee is $50 per year or $150 for a three-year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Contractors who apply for a contractor registration number through the Iowa plumbing and mechanical systems board must pay a fee that is prorated in accordance with the length of the registration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150.4(10)</w:t>
      </w:r>
      <w:r>
        <w:rPr>
          <w:rFonts w:ascii="Times New Roman" w:hAnsi="Times New Roman"/>
          <w:b w:val="false"/>
          <w:i w:val="false"/>
          <w:color w:val="000000"/>
          <w:sz w:val="22"/>
        </w:rPr>
        <w:t> </w:t>
      </w:r>
      <w:r>
        <w:rPr>
          <w:rFonts w:ascii="Times New Roman" w:hAnsi="Times New Roman"/>
          <w:b w:val="false"/>
          <w:i/>
          <w:color w:val="000000"/>
          <w:sz w:val="22"/>
        </w:rPr>
        <w:t xml:space="preserve">Social security number. </w:t>
      </w:r>
      <w:r>
        <w:rPr>
          <w:rFonts w:ascii="Times New Roman" w:hAnsi="Times New Roman"/>
          <w:b w:val="false"/>
          <w:i w:val="false"/>
          <w:color w:val="000000"/>
          <w:sz w:val="22"/>
        </w:rPr>
        <w:t>The contractor, if a natural person, shall include the contractor’s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150.4(11)</w:t>
      </w:r>
      <w:r>
        <w:rPr>
          <w:rFonts w:ascii="Times New Roman" w:hAnsi="Times New Roman"/>
          <w:b w:val="false"/>
          <w:i w:val="false"/>
          <w:color w:val="000000"/>
          <w:sz w:val="22"/>
        </w:rPr>
        <w:t> </w:t>
      </w:r>
      <w:r>
        <w:rPr>
          <w:rFonts w:ascii="Times New Roman" w:hAnsi="Times New Roman"/>
          <w:b w:val="false"/>
          <w:i/>
          <w:color w:val="000000"/>
          <w:sz w:val="22"/>
        </w:rPr>
        <w:t xml:space="preserve">Out-of-state contractor bond. </w:t>
      </w:r>
      <w:r>
        <w:rPr>
          <w:rFonts w:ascii="Times New Roman" w:hAnsi="Times New Roman"/>
          <w:b w:val="false"/>
          <w:i w:val="false"/>
          <w:color w:val="000000"/>
          <w:sz w:val="22"/>
        </w:rPr>
        <w:t>An out-of-state contractor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File a $25,000 surety bond that is prepared using the bond form provided by the department,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 copy of a letter from the department of transportation stating that the contractor is prequalified to bid on projects for the department of transportation pursuant to Iowa Code section </w:t>
      </w:r>
      <w:hyperlink r:id="rId9">
        <w:r>
          <w:rPr>
            <w:rStyle w:val="Hyperlink"/>
            <w:rFonts w:ascii="Times New Roman" w:hAnsi="Times New Roman"/>
            <w:b w:val="false"/>
            <w:i w:val="false"/>
            <w:color w:val="000000"/>
            <w:sz w:val="22"/>
          </w:rPr>
          <w:t>314.1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875—150.5</w:t>
      </w:r>
      <w:r>
        <w:rPr>
          <w:rFonts w:ascii="Times New Roman" w:hAnsi="Times New Roman"/>
          <w:b/>
          <w:i w:val="false"/>
          <w:color w:val="000000"/>
          <w:sz w:val="22"/>
        </w:rPr>
        <w:t xml:space="preserve">(91C) </w:t>
      </w:r>
      <w:r>
        <w:rPr>
          <w:rFonts w:ascii="Times New Roman" w:hAnsi="Times New Roman"/>
          <w:b/>
          <w:i w:val="false"/>
          <w:color w:val="000000"/>
          <w:sz w:val="22"/>
        </w:rPr>
        <w:t xml:space="preserve">Amendments to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150.5(1)</w:t>
      </w:r>
      <w:r>
        <w:rPr>
          <w:rFonts w:ascii="Times New Roman" w:hAnsi="Times New Roman"/>
          <w:b w:val="false"/>
          <w:i w:val="false"/>
          <w:color w:val="000000"/>
          <w:sz w:val="22"/>
        </w:rPr>
        <w:t> </w:t>
      </w:r>
      <w:r>
        <w:rPr>
          <w:rFonts w:ascii="Times New Roman" w:hAnsi="Times New Roman"/>
          <w:b w:val="false"/>
          <w:i w:val="false"/>
          <w:color w:val="000000"/>
          <w:sz w:val="22"/>
        </w:rPr>
        <w:t>A contractor shall report to the director any change in the information originally reported on or with the application within 15 working days of the change, except that the contractor shall notify the director of changes to workers’ compensation coverage within ten days prior to any change in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150.5(2)</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time specified in subrule </w:t>
      </w:r>
      <w:r>
        <w:rPr>
          <w:rFonts w:ascii="Times New Roman" w:hAnsi="Times New Roman"/>
          <w:b w:val="false"/>
          <w:i w:val="false"/>
          <w:color w:val="000000"/>
          <w:sz w:val="22"/>
        </w:rPr>
        <w:t>150.5(1)</w:t>
      </w:r>
      <w:r>
        <w:rPr>
          <w:rFonts w:ascii="Times New Roman" w:hAnsi="Times New Roman"/>
          <w:b w:val="false"/>
          <w:i w:val="false"/>
          <w:color w:val="000000"/>
          <w:sz w:val="22"/>
        </w:rPr>
        <w:t>, with good cause shown, the director may determine that an amendment may be made to correct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150.5(3)</w:t>
      </w:r>
      <w:r>
        <w:rPr>
          <w:rFonts w:ascii="Times New Roman" w:hAnsi="Times New Roman"/>
          <w:b w:val="false"/>
          <w:i w:val="false"/>
          <w:color w:val="000000"/>
          <w:sz w:val="22"/>
        </w:rPr>
        <w:t> </w:t>
      </w:r>
      <w:r>
        <w:rPr>
          <w:rFonts w:ascii="Times New Roman" w:hAnsi="Times New Roman"/>
          <w:b w:val="false"/>
          <w:i w:val="false"/>
          <w:color w:val="000000"/>
          <w:sz w:val="22"/>
        </w:rPr>
        <w:t>Amendments to applications are not permitted where a change occurs in the business classification, such as but not limited to a change from a sole proprietorship to a corporation.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875—150.6</w:t>
      </w:r>
      <w:r>
        <w:rPr>
          <w:rFonts w:ascii="Times New Roman" w:hAnsi="Times New Roman"/>
          <w:b/>
          <w:i w:val="false"/>
          <w:color w:val="000000"/>
          <w:sz w:val="22"/>
        </w:rPr>
        <w:t xml:space="preserve">(91C) </w:t>
      </w:r>
      <w:r>
        <w:rPr>
          <w:rFonts w:ascii="Times New Roman" w:hAnsi="Times New Roman"/>
          <w:b/>
          <w:i w:val="false"/>
          <w:color w:val="000000"/>
          <w:sz w:val="22"/>
        </w:rPr>
        <w:t xml:space="preserve">Fee.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150.6(1)</w:t>
      </w:r>
      <w:r>
        <w:rPr>
          <w:rFonts w:ascii="Times New Roman" w:hAnsi="Times New Roman"/>
          <w:b w:val="false"/>
          <w:i w:val="false"/>
          <w:color w:val="000000"/>
          <w:sz w:val="22"/>
        </w:rPr>
        <w:t> </w:t>
      </w:r>
      <w:r>
        <w:rPr>
          <w:rFonts w:ascii="Times New Roman" w:hAnsi="Times New Roman"/>
          <w:b w:val="false"/>
          <w:i/>
          <w:color w:val="000000"/>
          <w:sz w:val="22"/>
        </w:rPr>
        <w:t xml:space="preserve">New applications. </w:t>
      </w:r>
      <w:r>
        <w:rPr>
          <w:rFonts w:ascii="Times New Roman" w:hAnsi="Times New Roman"/>
          <w:b w:val="false"/>
          <w:i w:val="false"/>
          <w:color w:val="000000"/>
          <w:sz w:val="22"/>
        </w:rPr>
        <w:t>A new application deposited in the U.S. mail must include the fee effective on the date the application is postmarked. A new application delivered in any other manner must include the fee effective on the date the application is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150.6(2)</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applications. </w:t>
      </w:r>
      <w:r>
        <w:rPr>
          <w:rFonts w:ascii="Times New Roman" w:hAnsi="Times New Roman"/>
          <w:b w:val="false"/>
          <w:i w:val="false"/>
          <w:color w:val="000000"/>
          <w:sz w:val="22"/>
        </w:rPr>
        <w:t>A timely renewal application shall include the fee effective on the expiration date of the contractor’s expiring registration. An application for renewal deposited in the U.S. mail after the expiration date of the contractor’s expiring registration shall include the fee effective on the date the application is postmarked. An application for renewal delivered to the department in a manner other than U.S. mail and after the expiration date of the contractor’s expiring registration shall include the fee effective on the date the application is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150.6(3)</w:t>
      </w:r>
      <w:r>
        <w:rPr>
          <w:rFonts w:ascii="Times New Roman" w:hAnsi="Times New Roman"/>
          <w:b w:val="false"/>
          <w:i w:val="false"/>
          <w:color w:val="000000"/>
          <w:sz w:val="22"/>
        </w:rPr>
        <w:t> </w:t>
      </w:r>
      <w:r>
        <w:rPr>
          <w:rFonts w:ascii="Times New Roman" w:hAnsi="Times New Roman"/>
          <w:b w:val="false"/>
          <w:i/>
          <w:color w:val="000000"/>
          <w:sz w:val="22"/>
        </w:rPr>
        <w:t xml:space="preserve">Amendments to applications. </w:t>
      </w:r>
      <w:r>
        <w:rPr>
          <w:rFonts w:ascii="Times New Roman" w:hAnsi="Times New Roman"/>
          <w:b w:val="false"/>
          <w:i w:val="false"/>
          <w:color w:val="000000"/>
          <w:sz w:val="22"/>
        </w:rPr>
        <w:t>A fee is not required for a permissible amendment to an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875—150.7</w:t>
      </w:r>
      <w:r>
        <w:rPr>
          <w:rFonts w:ascii="Times New Roman" w:hAnsi="Times New Roman"/>
          <w:b/>
          <w:i w:val="false"/>
          <w:color w:val="000000"/>
          <w:sz w:val="22"/>
        </w:rPr>
        <w:t xml:space="preserve">(91C) </w:t>
      </w:r>
      <w:r>
        <w:rPr>
          <w:rFonts w:ascii="Times New Roman" w:hAnsi="Times New Roman"/>
          <w:b/>
          <w:i w:val="false"/>
          <w:color w:val="000000"/>
          <w:sz w:val="22"/>
        </w:rPr>
        <w:t xml:space="preserve">Registration number issuance. </w:t>
      </w:r>
      <w:r>
        <w:rPr>
          <w:rFonts w:ascii="Times New Roman" w:hAnsi="Times New Roman"/>
          <w:b w:val="false"/>
          <w:i w:val="false"/>
          <w:color w:val="000000"/>
          <w:sz w:val="22"/>
        </w:rPr>
        <w:t>Within 30 days of receipt of a completed application, the director will issue to the contractor a registration number. The registration number will consist of the letter “C” followed by six unique digits.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875—150.8</w:t>
      </w:r>
      <w:r>
        <w:rPr>
          <w:rFonts w:ascii="Times New Roman" w:hAnsi="Times New Roman"/>
          <w:b/>
          <w:i w:val="false"/>
          <w:color w:val="000000"/>
          <w:sz w:val="22"/>
        </w:rPr>
        <w:t xml:space="preserve">(91C) </w:t>
      </w:r>
      <w:r>
        <w:rPr>
          <w:rFonts w:ascii="Times New Roman" w:hAnsi="Times New Roman"/>
          <w:b/>
          <w:i w:val="false"/>
          <w:color w:val="000000"/>
          <w:sz w:val="22"/>
        </w:rPr>
        <w:t xml:space="preserve">Workers’ compensation insurance cancellation notifications.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150.8(1)</w:t>
      </w:r>
      <w:r>
        <w:rPr>
          <w:rFonts w:ascii="Times New Roman" w:hAnsi="Times New Roman"/>
          <w:b w:val="false"/>
          <w:i w:val="false"/>
          <w:color w:val="000000"/>
          <w:sz w:val="22"/>
        </w:rPr>
        <w:t> </w:t>
      </w:r>
      <w:r>
        <w:rPr>
          <w:rFonts w:ascii="Times New Roman" w:hAnsi="Times New Roman"/>
          <w:b w:val="false"/>
          <w:i/>
          <w:color w:val="000000"/>
          <w:sz w:val="22"/>
        </w:rPr>
        <w:t xml:space="preserve">Insurance company coverage. </w:t>
      </w:r>
      <w:r>
        <w:rPr>
          <w:rFonts w:ascii="Times New Roman" w:hAnsi="Times New Roman"/>
          <w:b w:val="false"/>
          <w:i w:val="false"/>
          <w:color w:val="000000"/>
          <w:sz w:val="22"/>
        </w:rPr>
        <w:t>The department shall be notified by the insurance company carrying the contractor’s workers’ compensation insurance at the time of cancellation. The notice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insurance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insured contractor;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the workers’ compensation coverage cancellation is effective.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150.8(2)</w:t>
      </w:r>
      <w:r>
        <w:rPr>
          <w:rFonts w:ascii="Times New Roman" w:hAnsi="Times New Roman"/>
          <w:b w:val="false"/>
          <w:i w:val="false"/>
          <w:color w:val="000000"/>
          <w:sz w:val="22"/>
        </w:rPr>
        <w:t> </w:t>
      </w:r>
      <w:r>
        <w:rPr>
          <w:rFonts w:ascii="Times New Roman" w:hAnsi="Times New Roman"/>
          <w:b w:val="false"/>
          <w:i/>
          <w:color w:val="000000"/>
          <w:sz w:val="22"/>
        </w:rPr>
        <w:t xml:space="preserve">Self-insured contractors. </w:t>
      </w:r>
      <w:r>
        <w:rPr>
          <w:rFonts w:ascii="Times New Roman" w:hAnsi="Times New Roman"/>
          <w:b w:val="false"/>
          <w:i w:val="false"/>
          <w:color w:val="000000"/>
          <w:sz w:val="22"/>
        </w:rPr>
        <w:t>The contractor shall notify the department ten days prior to any cessation in self-insurance.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150.8(3)</w:t>
      </w:r>
      <w:r>
        <w:rPr>
          <w:rFonts w:ascii="Times New Roman" w:hAnsi="Times New Roman"/>
          <w:b w:val="false"/>
          <w:i w:val="false"/>
          <w:color w:val="000000"/>
          <w:sz w:val="22"/>
        </w:rPr>
        <w:t> </w:t>
      </w:r>
      <w:r>
        <w:rPr>
          <w:rFonts w:ascii="Times New Roman" w:hAnsi="Times New Roman"/>
          <w:b w:val="false"/>
          <w:i/>
          <w:color w:val="000000"/>
          <w:sz w:val="22"/>
        </w:rPr>
        <w:t xml:space="preserve">Noninsured contractors. </w:t>
      </w:r>
      <w:r>
        <w:rPr>
          <w:rFonts w:ascii="Times New Roman" w:hAnsi="Times New Roman"/>
          <w:b w:val="false"/>
          <w:i w:val="false"/>
          <w:color w:val="000000"/>
          <w:sz w:val="22"/>
        </w:rPr>
        <w:t>The contractor shall notify the department whenever the required notice is not posted or in any change in insurance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875—150.9</w:t>
      </w:r>
      <w:r>
        <w:rPr>
          <w:rFonts w:ascii="Times New Roman" w:hAnsi="Times New Roman"/>
          <w:b/>
          <w:i w:val="false"/>
          <w:color w:val="000000"/>
          <w:sz w:val="22"/>
        </w:rPr>
        <w:t xml:space="preserve">(91C) </w:t>
      </w:r>
      <w:r>
        <w:rPr>
          <w:rFonts w:ascii="Times New Roman" w:hAnsi="Times New Roman"/>
          <w:b/>
          <w:i w:val="false"/>
          <w:color w:val="000000"/>
          <w:sz w:val="22"/>
        </w:rPr>
        <w:t xml:space="preserve">Investigations and 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150.9(1)</w:t>
      </w:r>
      <w:r>
        <w:rPr>
          <w:rFonts w:ascii="Times New Roman" w:hAnsi="Times New Roman"/>
          <w:b w:val="false"/>
          <w:i w:val="false"/>
          <w:color w:val="000000"/>
          <w:sz w:val="22"/>
        </w:rPr>
        <w:t> </w:t>
      </w:r>
      <w:r>
        <w:rPr>
          <w:rFonts w:ascii="Times New Roman" w:hAnsi="Times New Roman"/>
          <w:b w:val="false"/>
          <w:i/>
          <w:color w:val="000000"/>
          <w:sz w:val="22"/>
        </w:rPr>
        <w:t xml:space="preserve">Investigations. </w:t>
      </w:r>
      <w:r>
        <w:rPr>
          <w:rFonts w:ascii="Times New Roman" w:hAnsi="Times New Roman"/>
          <w:b w:val="false"/>
          <w:i w:val="false"/>
          <w:color w:val="000000"/>
          <w:sz w:val="22"/>
        </w:rPr>
        <w:t>The conduct of the investigation will be such as to preclude unreasonable disruption of the operations of the work site. Investigations may be conducted without prior notice by correspondence, telephone conversations, or review of materials submitted to the department. At the initiation of an investigation at the contractor’s establishment, the investigator shall present credentials, explain the nature and purpose of the investigation, and seek the consent of the owner, operator or agent in charge of the establishment. In the event the investigator is not permitted to fully conduct an investigation, the director may seek an administrative warrant.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150.9(2)</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 xml:space="preserve">A complainant’s name and other identifying information shall not be released if the complaint was included as a part of another complaint where the complainant’s identity would be protected under other statutes or rules (e.g., a complaint filed under both Iowa Code chapters </w:t>
      </w:r>
      <w:hyperlink r:id="rId10">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875—150.10</w:t>
      </w:r>
      <w:r>
        <w:rPr>
          <w:rFonts w:ascii="Times New Roman" w:hAnsi="Times New Roman"/>
          <w:b/>
          <w:i w:val="false"/>
          <w:color w:val="000000"/>
          <w:sz w:val="22"/>
        </w:rPr>
        <w:t xml:space="preserve">(91C) </w:t>
      </w:r>
      <w:r>
        <w:rPr>
          <w:rFonts w:ascii="Times New Roman" w:hAnsi="Times New Roman"/>
          <w:b/>
          <w:i w:val="false"/>
          <w:color w:val="000000"/>
          <w:sz w:val="22"/>
        </w:rPr>
        <w:t xml:space="preserve">Citations/penalties and appeal 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150.10(1)</w:t>
      </w:r>
      <w:r>
        <w:rPr>
          <w:rFonts w:ascii="Times New Roman" w:hAnsi="Times New Roman"/>
          <w:b w:val="false"/>
          <w:i w:val="false"/>
          <w:color w:val="000000"/>
          <w:sz w:val="22"/>
        </w:rPr>
        <w:t> </w:t>
      </w:r>
      <w:r>
        <w:rPr>
          <w:rFonts w:ascii="Times New Roman" w:hAnsi="Times New Roman"/>
          <w:b w:val="false"/>
          <w:i/>
          <w:color w:val="000000"/>
          <w:sz w:val="22"/>
        </w:rPr>
        <w:t xml:space="preserve">Citations. </w:t>
      </w:r>
      <w:r>
        <w:rPr>
          <w:rFonts w:ascii="Times New Roman" w:hAnsi="Times New Roman"/>
          <w:b w:val="false"/>
          <w:i w:val="false"/>
          <w:color w:val="000000"/>
          <w:sz w:val="22"/>
        </w:rPr>
        <w:t>The director will issue a citation to a contractor where an investigation reveals the contractor has violated: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requirement that the contractor be registered;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requirement that the contractor’s registration information be substantially complete and accurate;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requirement that an out-of-state contractor file a bond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150.10(2)</w:t>
      </w:r>
      <w:r>
        <w:rPr>
          <w:rFonts w:ascii="Times New Roman" w:hAnsi="Times New Roman"/>
          <w:b w:val="false"/>
          <w:i w:val="false"/>
          <w:color w:val="000000"/>
          <w:sz w:val="22"/>
        </w:rPr>
        <w:t> </w:t>
      </w:r>
      <w:r>
        <w:rPr>
          <w:rFonts w:ascii="Times New Roman" w:hAnsi="Times New Roman"/>
          <w:b w:val="false"/>
          <w:i/>
          <w:color w:val="000000"/>
          <w:sz w:val="22"/>
        </w:rPr>
        <w:t xml:space="preserve">Penalties. </w:t>
      </w:r>
      <w:r>
        <w:rPr>
          <w:rFonts w:ascii="Times New Roman" w:hAnsi="Times New Roman"/>
          <w:b w:val="false"/>
          <w:i w:val="false"/>
          <w:color w:val="000000"/>
          <w:sz w:val="22"/>
        </w:rPr>
        <w:t>If a citation is issued, the director shall notify the contractor by certified mail of the proposed administrative penalty, if any. The administrative penalties shall be not more than $500 in the case of the first violation and not more than $5,000 per violation in the case of a second or subsequent violation. In proposing a penalty, due consideration will be given to knowledge of the alleged violation, knowledge of requirements of the law, and nature and extent of the alleged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150.10(3)</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The contractor has 15 working days within which to file a notice of contest of the citation or proposed penalty. The notice of contest is filed with the director who will forward it to the employment appeal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150.10(4)</w:t>
      </w:r>
      <w:r>
        <w:rPr>
          <w:rFonts w:ascii="Times New Roman" w:hAnsi="Times New Roman"/>
          <w:b w:val="false"/>
          <w:i w:val="false"/>
          <w:color w:val="000000"/>
          <w:sz w:val="22"/>
        </w:rPr>
        <w:t> </w:t>
      </w:r>
      <w:r>
        <w:rPr>
          <w:rFonts w:ascii="Times New Roman" w:hAnsi="Times New Roman"/>
          <w:b w:val="false"/>
          <w:i/>
          <w:color w:val="000000"/>
          <w:sz w:val="22"/>
        </w:rPr>
        <w:t xml:space="preserve">Appeal procedures. </w:t>
      </w:r>
      <w:r>
        <w:rPr>
          <w:rFonts w:ascii="Times New Roman" w:hAnsi="Times New Roman"/>
          <w:b w:val="false"/>
          <w:i w:val="false"/>
          <w:color w:val="000000"/>
          <w:sz w:val="22"/>
        </w:rPr>
        <w:t>The rules of procedure of the employment appeal board shall apply to administrative hearings on citations and penalties.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875—150.11</w:t>
      </w:r>
      <w:r>
        <w:rPr>
          <w:rFonts w:ascii="Times New Roman" w:hAnsi="Times New Roman"/>
          <w:b/>
          <w:i w:val="false"/>
          <w:color w:val="000000"/>
          <w:sz w:val="22"/>
        </w:rPr>
        <w:t xml:space="preserve">(91C) </w:t>
      </w:r>
      <w:r>
        <w:rPr>
          <w:rFonts w:ascii="Times New Roman" w:hAnsi="Times New Roman"/>
          <w:b/>
          <w:i w:val="false"/>
          <w:color w:val="000000"/>
          <w:sz w:val="22"/>
        </w:rPr>
        <w:t xml:space="preserve">Revocation of registrations and appeal 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150.11(1)</w:t>
      </w:r>
      <w:r>
        <w:rPr>
          <w:rFonts w:ascii="Times New Roman" w:hAnsi="Times New Roman"/>
          <w:b w:val="false"/>
          <w:i w:val="false"/>
          <w:color w:val="000000"/>
          <w:sz w:val="22"/>
        </w:rPr>
        <w:t> </w:t>
      </w:r>
      <w:r>
        <w:rPr>
          <w:rFonts w:ascii="Times New Roman" w:hAnsi="Times New Roman"/>
          <w:b w:val="false"/>
          <w:i/>
          <w:color w:val="000000"/>
          <w:sz w:val="22"/>
        </w:rPr>
        <w:t xml:space="preserve">Reason for revocation. </w:t>
      </w:r>
      <w:r>
        <w:rPr>
          <w:rFonts w:ascii="Times New Roman" w:hAnsi="Times New Roman"/>
          <w:b w:val="false"/>
          <w:i w:val="false"/>
          <w:color w:val="000000"/>
          <w:sz w:val="22"/>
        </w:rPr>
        <w:t>The director shall seek revocation of a contractor’s registration where an investigation reveals the contractor failed to meet the conditions of registration at the time of issuance or no longer meets the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150.11(2)</w:t>
      </w:r>
      <w:r>
        <w:rPr>
          <w:rFonts w:ascii="Times New Roman" w:hAnsi="Times New Roman"/>
          <w:b w:val="false"/>
          <w:i w:val="false"/>
          <w:color w:val="000000"/>
          <w:sz w:val="22"/>
        </w:rPr>
        <w:t> </w:t>
      </w:r>
      <w:r>
        <w:rPr>
          <w:rFonts w:ascii="Times New Roman" w:hAnsi="Times New Roman"/>
          <w:b w:val="false"/>
          <w:i/>
          <w:color w:val="000000"/>
          <w:sz w:val="22"/>
        </w:rPr>
        <w:t xml:space="preserve">Notice of revocation. </w:t>
      </w:r>
      <w:r>
        <w:rPr>
          <w:rFonts w:ascii="Times New Roman" w:hAnsi="Times New Roman"/>
          <w:b w:val="false"/>
          <w:i w:val="false"/>
          <w:color w:val="000000"/>
          <w:sz w:val="22"/>
        </w:rPr>
        <w:t>The director shall serve a notice of intent to revoke on the contractor by personal service or by restricted certified mail to the address listed in the application or by other service as permitted in the Iowa Rules of Civil Procedure. The notice shall set the time for a fact-finding interview.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150.11(3)</w:t>
      </w:r>
      <w:r>
        <w:rPr>
          <w:rFonts w:ascii="Times New Roman" w:hAnsi="Times New Roman"/>
          <w:b w:val="false"/>
          <w:i w:val="false"/>
          <w:color w:val="000000"/>
          <w:sz w:val="22"/>
        </w:rPr>
        <w:t> </w:t>
      </w:r>
      <w:r>
        <w:rPr>
          <w:rFonts w:ascii="Times New Roman" w:hAnsi="Times New Roman"/>
          <w:b w:val="false"/>
          <w:i/>
          <w:color w:val="000000"/>
          <w:sz w:val="22"/>
        </w:rPr>
        <w:t xml:space="preserve">Fact-finding interview. </w:t>
      </w:r>
      <w:r>
        <w:rPr>
          <w:rFonts w:ascii="Times New Roman" w:hAnsi="Times New Roman"/>
          <w:b w:val="false"/>
          <w:i w:val="false"/>
          <w:color w:val="000000"/>
          <w:sz w:val="22"/>
        </w:rPr>
        <w:t>The purpose of the fact-finding interview is to ensure the contractor is not in compliance before the registration is revoked. The contractor may notify the fact finder of a telephone number to use at least 24 hours before the fact-finding interview is scheduled to begin. Otherwise, the fact finder will call the number on file for the contractor. The fact-finding interview may be conducted via videoconference or in person if the fact finder and the contractor make arrangements in advance.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150.11(4)</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The director serves the decision of the fact-finding interview on the contractor by certified mail to the address listed on the application or to another address provided by the contractor. If the certified mail is returned unclaimed or undelivered, the director will serve the decision by other service as permitted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150.11(5)</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revocation. </w:t>
      </w:r>
      <w:r>
        <w:rPr>
          <w:rFonts w:ascii="Times New Roman" w:hAnsi="Times New Roman"/>
          <w:b w:val="false"/>
          <w:i w:val="false"/>
          <w:color w:val="000000"/>
          <w:sz w:val="22"/>
        </w:rPr>
        <w:t>Revocations are effective 21 days after certified mailing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150.11(6)</w:t>
      </w:r>
      <w:r>
        <w:rPr>
          <w:rFonts w:ascii="Times New Roman" w:hAnsi="Times New Roman"/>
          <w:b w:val="false"/>
          <w:i w:val="false"/>
          <w:color w:val="000000"/>
          <w:sz w:val="22"/>
        </w:rPr>
        <w:t> </w:t>
      </w:r>
      <w:r>
        <w:rPr>
          <w:rFonts w:ascii="Times New Roman" w:hAnsi="Times New Roman"/>
          <w:b w:val="false"/>
          <w:i/>
          <w:color w:val="000000"/>
          <w:sz w:val="22"/>
        </w:rPr>
        <w:t xml:space="preserve">Notice of contest. </w:t>
      </w:r>
      <w:r>
        <w:rPr>
          <w:rFonts w:ascii="Times New Roman" w:hAnsi="Times New Roman"/>
          <w:b w:val="false"/>
          <w:i w:val="false"/>
          <w:color w:val="000000"/>
          <w:sz w:val="22"/>
        </w:rPr>
        <w:t>The contractor has 15 working days from receipt of the decision to file a notice of contest. The notice of contest shall be filed with the director, who will forward it to the employment appeal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150.11(7)</w:t>
      </w:r>
      <w:r>
        <w:rPr>
          <w:rFonts w:ascii="Times New Roman" w:hAnsi="Times New Roman"/>
          <w:b w:val="false"/>
          <w:i w:val="false"/>
          <w:color w:val="000000"/>
          <w:sz w:val="22"/>
        </w:rPr>
        <w:t> </w:t>
      </w:r>
      <w:r>
        <w:rPr>
          <w:rFonts w:ascii="Times New Roman" w:hAnsi="Times New Roman"/>
          <w:b w:val="false"/>
          <w:i/>
          <w:color w:val="000000"/>
          <w:sz w:val="22"/>
        </w:rPr>
        <w:t xml:space="preserve">Notice of contest procedures. </w:t>
      </w:r>
      <w:r>
        <w:rPr>
          <w:rFonts w:ascii="Times New Roman" w:hAnsi="Times New Roman"/>
          <w:b w:val="false"/>
          <w:i w:val="false"/>
          <w:color w:val="000000"/>
          <w:sz w:val="22"/>
        </w:rPr>
        <w:t>The rules of procedure of the employment appeal board apply to notices of contest.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150.11(8)</w:t>
      </w:r>
      <w:r>
        <w:rPr>
          <w:rFonts w:ascii="Times New Roman" w:hAnsi="Times New Roman"/>
          <w:b w:val="false"/>
          <w:i w:val="false"/>
          <w:color w:val="000000"/>
          <w:sz w:val="22"/>
        </w:rPr>
        <w:t> </w:t>
      </w:r>
      <w:r>
        <w:rPr>
          <w:rFonts w:ascii="Times New Roman" w:hAnsi="Times New Roman"/>
          <w:b w:val="false"/>
          <w:i/>
          <w:color w:val="000000"/>
          <w:sz w:val="22"/>
        </w:rPr>
        <w:t xml:space="preserve">Effect of revocation. </w:t>
      </w:r>
      <w:r>
        <w:rPr>
          <w:rFonts w:ascii="Times New Roman" w:hAnsi="Times New Roman"/>
          <w:b w:val="false"/>
          <w:i w:val="false"/>
          <w:color w:val="000000"/>
          <w:sz w:val="22"/>
        </w:rPr>
        <w:t>A contractor whose registration is revoked may reapply for a new registration number if all requirements for registration eligibility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150.11(9)</w:t>
      </w:r>
      <w:r>
        <w:rPr>
          <w:rFonts w:ascii="Times New Roman" w:hAnsi="Times New Roman"/>
          <w:b w:val="false"/>
          <w:i w:val="false"/>
          <w:color w:val="000000"/>
          <w:sz w:val="22"/>
        </w:rPr>
        <w:t> </w:t>
      </w:r>
      <w:r>
        <w:rPr>
          <w:rFonts w:ascii="Times New Roman" w:hAnsi="Times New Roman"/>
          <w:b w:val="false"/>
          <w:i/>
          <w:color w:val="000000"/>
          <w:sz w:val="22"/>
        </w:rPr>
        <w:t xml:space="preserve">Relinquishing registration certificate. </w:t>
      </w:r>
      <w:r>
        <w:rPr>
          <w:rFonts w:ascii="Times New Roman" w:hAnsi="Times New Roman"/>
          <w:b w:val="false"/>
          <w:i w:val="false"/>
          <w:color w:val="000000"/>
          <w:sz w:val="22"/>
        </w:rPr>
        <w:t>A contractor shall return the original registration certificate to the department when a revocation or suspension becomes final.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875—150.12</w:t>
      </w:r>
      <w:r>
        <w:rPr>
          <w:rFonts w:ascii="Times New Roman" w:hAnsi="Times New Roman"/>
          <w:b/>
          <w:i w:val="false"/>
          <w:color w:val="000000"/>
          <w:sz w:val="22"/>
        </w:rPr>
        <w:t xml:space="preserve">(91C) </w:t>
      </w:r>
      <w:r>
        <w:rPr>
          <w:rFonts w:ascii="Times New Roman" w:hAnsi="Times New Roman"/>
          <w:b/>
          <w:i w:val="false"/>
          <w:color w:val="000000"/>
          <w:sz w:val="22"/>
        </w:rPr>
        <w:t xml:space="preserve">Concurrent actions. </w:t>
      </w:r>
      <w:r>
        <w:rPr>
          <w:rFonts w:ascii="Times New Roman" w:hAnsi="Times New Roman"/>
          <w:b w:val="false"/>
          <w:i w:val="false"/>
          <w:color w:val="000000"/>
          <w:sz w:val="22"/>
        </w:rPr>
        <w:t xml:space="preserve">Actions under rules </w:t>
      </w:r>
      <w:hyperlink r:id="rId12">
        <w:r>
          <w:rPr>
            <w:rStyle w:val="Hyperlink"/>
            <w:rFonts w:ascii="Times New Roman" w:hAnsi="Times New Roman"/>
            <w:b w:val="false"/>
            <w:i w:val="false"/>
            <w:color w:val="000000"/>
            <w:sz w:val="22"/>
          </w:rPr>
          <w:t>875—150.10</w:t>
        </w:r>
      </w:hyperlink>
      <w:r>
        <w:rPr>
          <w:rFonts w:ascii="Times New Roman" w:hAnsi="Times New Roman"/>
          <w:b w:val="false"/>
          <w:i w:val="false"/>
          <w:color w:val="000000"/>
          <w:sz w:val="22"/>
        </w:rPr>
        <w:t xml:space="preserve">(91C) and </w:t>
      </w:r>
      <w:hyperlink r:id="rId13">
        <w:r>
          <w:rPr>
            <w:rStyle w:val="Hyperlink"/>
            <w:rFonts w:ascii="Times New Roman" w:hAnsi="Times New Roman"/>
            <w:b w:val="false"/>
            <w:i w:val="false"/>
            <w:color w:val="000000"/>
            <w:sz w:val="22"/>
          </w:rPr>
          <w:t>875—150.11(91C)</w:t>
        </w:r>
      </w:hyperlink>
      <w:r>
        <w:rPr>
          <w:rFonts w:ascii="Times New Roman" w:hAnsi="Times New Roman"/>
          <w:b w:val="false"/>
          <w:i w:val="false"/>
          <w:color w:val="000000"/>
          <w:sz w:val="22"/>
        </w:rPr>
        <w:t xml:space="preserve"> may proceed at the same time against a contractor.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875—150.13</w:t>
      </w:r>
      <w:r>
        <w:rPr>
          <w:rFonts w:ascii="Times New Roman" w:hAnsi="Times New Roman"/>
          <w:b/>
          <w:i w:val="false"/>
          <w:color w:val="000000"/>
          <w:sz w:val="22"/>
        </w:rPr>
        <w:t xml:space="preserve">(91C) </w:t>
      </w:r>
      <w:r>
        <w:rPr>
          <w:rFonts w:ascii="Times New Roman" w:hAnsi="Times New Roman"/>
          <w:b/>
          <w:i w:val="false"/>
          <w:color w:val="000000"/>
          <w:sz w:val="22"/>
        </w:rPr>
        <w:t xml:space="preserve">Bond release.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150.13(1)</w:t>
      </w:r>
      <w:r>
        <w:rPr>
          <w:rFonts w:ascii="Times New Roman" w:hAnsi="Times New Roman"/>
          <w:b w:val="false"/>
          <w:i w:val="false"/>
          <w:color w:val="000000"/>
          <w:sz w:val="22"/>
        </w:rPr>
        <w:t> </w:t>
      </w:r>
      <w:r>
        <w:rPr>
          <w:rFonts w:ascii="Times New Roman" w:hAnsi="Times New Roman"/>
          <w:b w:val="false"/>
          <w:i/>
          <w:color w:val="000000"/>
          <w:sz w:val="22"/>
        </w:rPr>
        <w:t xml:space="preserve">Notifications. </w:t>
      </w:r>
      <w:r>
        <w:rPr>
          <w:rFonts w:ascii="Times New Roman" w:hAnsi="Times New Roman"/>
          <w:b w:val="false"/>
          <w:i w:val="false"/>
          <w:color w:val="000000"/>
          <w:sz w:val="22"/>
        </w:rPr>
        <w:t>Prior to releasing a bond, the director will notify the department of revenue, the unemployment insurance services division of the workforce development department, and applicable state subdivisions of the intent to release the bond. The director shall provide ten days for the filing of objections to the release of the bond. The director may deem any failure to respond to the notice within the time provided as an approval of the release.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150.13(2)</w:t>
      </w:r>
      <w:r>
        <w:rPr>
          <w:rFonts w:ascii="Times New Roman" w:hAnsi="Times New Roman"/>
          <w:b w:val="false"/>
          <w:i w:val="false"/>
          <w:color w:val="000000"/>
          <w:sz w:val="22"/>
        </w:rPr>
        <w:t> </w:t>
      </w:r>
      <w:r>
        <w:rPr>
          <w:rFonts w:ascii="Times New Roman" w:hAnsi="Times New Roman"/>
          <w:b w:val="false"/>
          <w:i/>
          <w:color w:val="000000"/>
          <w:sz w:val="22"/>
        </w:rPr>
        <w:t xml:space="preserve">Conditions for release. </w:t>
      </w:r>
      <w:r>
        <w:rPr>
          <w:rFonts w:ascii="Times New Roman" w:hAnsi="Times New Roman"/>
          <w:b w:val="false"/>
          <w:i w:val="false"/>
          <w:color w:val="000000"/>
          <w:sz w:val="22"/>
        </w:rPr>
        <w:t>A bond shall not be released until the contractor has made payment of all taxes, including contributions due under the unemployment compensation insurance system, penalties, interest, and fees, that may accrue to the state of Iowa or its subdivisions on account of the execution and performance of the contract or approval for the release is obtained from the appropriate agencies.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4">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12/9/88, Notice 10/5/88—published 12/28/88, effective 2/15/89]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4/26/89—published 5/17/89, effective 4/26/89]</w:t>
      </w:r>
    </w:p>
    <w:p>
      <w:pPr>
        <w:spacing w:before="0" w:after="0"/>
        <w:ind w:left="120"/>
        <w:jc w:val="center"/>
      </w:pPr>
      <w:r>
        <w:rPr>
          <w:rFonts w:ascii="Times New Roman" w:hAnsi="Times New Roman"/>
          <w:b w:val="false"/>
          <w:i w:val="false"/>
          <w:color w:val="000000"/>
          <w:sz w:val="21"/>
        </w:rPr>
        <w:t>[Filed 10/26/89, Notice 5/17/89—published 11/15/89, effective 12/29/89]</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2/7/97, Notice 8/14/96—published 2/26/97, effective 4/4/97]</w:t>
      </w:r>
    </w:p>
    <w:p>
      <w:pPr>
        <w:spacing w:before="0" w:after="0"/>
        <w:ind w:left="120"/>
        <w:jc w:val="center"/>
      </w:pPr>
      <w:r>
        <w:rPr>
          <w:rFonts w:ascii="Times New Roman" w:hAnsi="Times New Roman"/>
          <w:b w:val="false"/>
          <w:i w:val="false"/>
          <w:color w:val="000000"/>
          <w:sz w:val="21"/>
        </w:rPr>
        <w:t>[Filed emergency 5/4/99 after Notice 3/24/99—published 6/2/99, effective 7/1/99]</w:t>
      </w:r>
    </w:p>
    <w:p>
      <w:pPr>
        <w:spacing w:before="0" w:after="0"/>
        <w:ind w:left="120"/>
        <w:jc w:val="center"/>
      </w:pPr>
      <w:r>
        <w:rPr>
          <w:rFonts w:ascii="Times New Roman" w:hAnsi="Times New Roman"/>
          <w:b w:val="false"/>
          <w:i w:val="false"/>
          <w:color w:val="000000"/>
          <w:sz w:val="21"/>
        </w:rPr>
        <w:t>[Filed emergency 6/28/06—published 7/19/06, effective 7/1/06]</w:t>
      </w:r>
    </w:p>
    <w:p>
      <w:pPr>
        <w:spacing w:before="0" w:after="0"/>
        <w:ind w:left="120"/>
        <w:jc w:val="center"/>
      </w:pPr>
      <w:r>
        <w:rPr>
          <w:rFonts w:ascii="Times New Roman" w:hAnsi="Times New Roman"/>
          <w:b w:val="false"/>
          <w:i w:val="false"/>
          <w:color w:val="000000"/>
          <w:sz w:val="21"/>
        </w:rPr>
        <w:t>[Filed 11/3/06, Notice 9/27/06—published 11/22/06, effective 1/1/07]</w:t>
      </w:r>
    </w:p>
    <w:p>
      <w:pPr>
        <w:spacing w:before="0" w:after="0"/>
        <w:ind w:left="120"/>
        <w:jc w:val="center"/>
      </w:pPr>
      <w:r>
        <w:rPr>
          <w:rFonts w:ascii="Times New Roman" w:hAnsi="Times New Roman"/>
          <w:b w:val="false"/>
          <w:i w:val="false"/>
          <w:color w:val="000000"/>
          <w:sz w:val="21"/>
        </w:rPr>
        <w:t>[Filed 11/30/06, Notice 7/19/06—published 12/20/06, effective 1/24/07]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6/25/08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6/25/08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7876B, IAB 6/17/09, effective 7/1/09]</w:t>
      </w:r>
    </w:p>
    <w:p>
      <w:pPr>
        <w:spacing w:before="0" w:after="0"/>
        <w:ind w:left="120"/>
        <w:jc w:val="center"/>
      </w:pPr>
      <w:r>
        <w:rPr>
          <w:rFonts w:ascii="Times New Roman" w:hAnsi="Times New Roman"/>
          <w:b w:val="false"/>
          <w:i w:val="false"/>
          <w:color w:val="000000"/>
          <w:sz w:val="21"/>
        </w:rPr>
        <w:t>[Filed ARC 8035B</w:t>
      </w:r>
      <w:r>
        <w:rPr>
          <w:rFonts w:ascii="Times New Roman" w:hAnsi="Times New Roman"/>
          <w:b w:val="false"/>
          <w:i w:val="false"/>
          <w:color w:val="000000"/>
          <w:sz w:val="21"/>
        </w:rPr>
        <w:t xml:space="preserve"> (Notice ARC 7875B, IAB 6/17/09)</w:t>
      </w:r>
      <w:r>
        <w:rPr>
          <w:rFonts w:ascii="Times New Roman" w:hAnsi="Times New Roman"/>
          <w:b w:val="false"/>
          <w:i w:val="false"/>
          <w:color w:val="000000"/>
          <w:sz w:val="21"/>
        </w:rPr>
        <w:t>, IAB 8/12/09, effective 9/16/09]</w:t>
      </w:r>
    </w:p>
    <w:p>
      <w:pPr>
        <w:spacing w:before="0" w:after="0"/>
        <w:ind w:left="120"/>
        <w:jc w:val="center"/>
      </w:pPr>
      <w:r>
        <w:rPr>
          <w:rFonts w:ascii="Times New Roman" w:hAnsi="Times New Roman"/>
          <w:b w:val="false"/>
          <w:i w:val="false"/>
          <w:color w:val="000000"/>
          <w:sz w:val="21"/>
        </w:rPr>
        <w:t>[Filed Emergency ARC 8812B, IAB 6/2/10, effective 7/1/10]</w:t>
      </w:r>
    </w:p>
    <w:p>
      <w:pPr>
        <w:spacing w:before="0" w:after="0"/>
        <w:ind w:left="120"/>
        <w:jc w:val="center"/>
      </w:pPr>
      <w:r>
        <w:rPr>
          <w:rFonts w:ascii="Times New Roman" w:hAnsi="Times New Roman"/>
          <w:b w:val="false"/>
          <w:i w:val="false"/>
          <w:color w:val="000000"/>
          <w:sz w:val="21"/>
        </w:rPr>
        <w:t>[Filed ARC 8984B</w:t>
      </w:r>
      <w:r>
        <w:rPr>
          <w:rFonts w:ascii="Times New Roman" w:hAnsi="Times New Roman"/>
          <w:b w:val="false"/>
          <w:i w:val="false"/>
          <w:color w:val="000000"/>
          <w:sz w:val="21"/>
        </w:rPr>
        <w:t xml:space="preserve"> (Notice ARC 8818B, IAB 6/2/10)</w:t>
      </w:r>
      <w:r>
        <w:rPr>
          <w:rFonts w:ascii="Times New Roman" w:hAnsi="Times New Roman"/>
          <w:b w:val="false"/>
          <w:i w:val="false"/>
          <w:color w:val="000000"/>
          <w:sz w:val="21"/>
        </w:rPr>
        <w:t>, IAB 8/11/10, effective 9/15/10]</w:t>
      </w:r>
    </w:p>
    <w:p>
      <w:pPr>
        <w:spacing w:before="0" w:after="0"/>
        <w:ind w:left="120"/>
        <w:jc w:val="center"/>
      </w:pPr>
      <w:r>
        <w:rPr>
          <w:rFonts w:ascii="Times New Roman" w:hAnsi="Times New Roman"/>
          <w:b w:val="false"/>
          <w:i w:val="false"/>
          <w:color w:val="000000"/>
          <w:sz w:val="21"/>
        </w:rPr>
        <w:t>[Filed ARC 3059C</w:t>
      </w:r>
      <w:r>
        <w:rPr>
          <w:rFonts w:ascii="Times New Roman" w:hAnsi="Times New Roman"/>
          <w:b w:val="false"/>
          <w:i w:val="false"/>
          <w:color w:val="000000"/>
          <w:sz w:val="21"/>
        </w:rPr>
        <w:t xml:space="preserve"> (Notice ARC 2965C, IAB 3/15/17)</w:t>
      </w:r>
      <w:r>
        <w:rPr>
          <w:rFonts w:ascii="Times New Roman" w:hAnsi="Times New Roman"/>
          <w:b w:val="false"/>
          <w:i w:val="false"/>
          <w:color w:val="000000"/>
          <w:sz w:val="21"/>
        </w:rPr>
        <w:t>, IAB 5/10/17, effective 6/14/17]</w:t>
      </w:r>
    </w:p>
    <w:p>
      <w:pPr>
        <w:spacing w:before="0" w:after="0"/>
        <w:ind w:left="120"/>
        <w:jc w:val="center"/>
      </w:pPr>
      <w:r>
        <w:rPr>
          <w:rFonts w:ascii="Times New Roman" w:hAnsi="Times New Roman"/>
          <w:b w:val="false"/>
          <w:i w:val="false"/>
          <w:color w:val="000000"/>
          <w:sz w:val="21"/>
        </w:rPr>
        <w:t>[Filed ARC 3686C</w:t>
      </w:r>
      <w:r>
        <w:rPr>
          <w:rFonts w:ascii="Times New Roman" w:hAnsi="Times New Roman"/>
          <w:b w:val="false"/>
          <w:i w:val="false"/>
          <w:color w:val="000000"/>
          <w:sz w:val="21"/>
        </w:rPr>
        <w:t xml:space="preserve"> (Notice ARC 3565C, IAB 1/17/18)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4640C</w:t>
      </w:r>
      <w:r>
        <w:rPr>
          <w:rFonts w:ascii="Times New Roman" w:hAnsi="Times New Roman"/>
          <w:b w:val="false"/>
          <w:i w:val="false"/>
          <w:color w:val="000000"/>
          <w:sz w:val="21"/>
        </w:rPr>
        <w:t xml:space="preserve"> (Notice ARC 4520C, IAB 7/3/19)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5022C</w:t>
      </w:r>
      <w:r>
        <w:rPr>
          <w:rFonts w:ascii="Times New Roman" w:hAnsi="Times New Roman"/>
          <w:b w:val="false"/>
          <w:i w:val="false"/>
          <w:color w:val="000000"/>
          <w:sz w:val="21"/>
        </w:rPr>
        <w:t xml:space="preserve"> (Notice ARC 4894C,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6102C</w:t>
      </w:r>
      <w:r>
        <w:rPr>
          <w:rFonts w:ascii="Times New Roman" w:hAnsi="Times New Roman"/>
          <w:b w:val="false"/>
          <w:i w:val="false"/>
          <w:color w:val="000000"/>
          <w:sz w:val="21"/>
        </w:rPr>
        <w:t xml:space="preserve"> (Notice ARC 5959C, IAB 10/6/21)</w:t>
      </w:r>
      <w:r>
        <w:rPr>
          <w:rFonts w:ascii="Times New Roman" w:hAnsi="Times New Roman"/>
          <w:b w:val="false"/>
          <w:i w:val="false"/>
          <w:color w:val="000000"/>
          <w:sz w:val="21"/>
        </w:rPr>
        <w:t>, IAB 12/29/21, effective 2/2/22]</w:t>
      </w:r>
    </w:p>
    <w:p>
      <w:pPr>
        <w:spacing w:before="0" w:after="0"/>
        <w:ind w:left="120"/>
        <w:jc w:val="center"/>
      </w:pPr>
      <w:r>
        <w:rPr>
          <w:rFonts w:ascii="Times New Roman" w:hAnsi="Times New Roman"/>
          <w:b w:val="false"/>
          <w:i w:val="false"/>
          <w:color w:val="000000"/>
          <w:sz w:val="21"/>
        </w:rPr>
        <w:t>[Filed ARC 8833C</w:t>
      </w:r>
      <w:r>
        <w:rPr>
          <w:rFonts w:ascii="Times New Roman" w:hAnsi="Times New Roman"/>
          <w:b w:val="false"/>
          <w:i w:val="false"/>
          <w:color w:val="000000"/>
          <w:sz w:val="21"/>
        </w:rPr>
        <w:t xml:space="preserve"> (Notice ARC 8375C, IAB 11/27/24)</w:t>
      </w:r>
      <w:r>
        <w:rPr>
          <w:rFonts w:ascii="Times New Roman" w:hAnsi="Times New Roman"/>
          <w:b w:val="false"/>
          <w:i w:val="false"/>
          <w:color w:val="000000"/>
          <w:sz w:val="21"/>
        </w:rPr>
        <w:t>, IAB 1/22/25, effective 2/26/25]</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(2/15/89) delayed 70 days by the Administrative Rules Review Committee at its January 5, 1989, meeting.</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1C.pdf" Type="http://schemas.openxmlformats.org/officeDocument/2006/relationships/hyperlink" Id="rId4"/>
    <Relationship TargetMode="External" Target="https://www.legis.iowa.gov/docs/iac/rule/871.23.82.pdf" Type="http://schemas.openxmlformats.org/officeDocument/2006/relationships/hyperlink" Id="rId5"/>
    <Relationship TargetMode="External" Target="https://www.legis.iowa.gov/docs/iac/rule/871.23.82.pdf" Type="http://schemas.openxmlformats.org/officeDocument/2006/relationships/hyperlink" Id="rId6"/>
    <Relationship TargetMode="External" Target="https://www.legis.iowa.gov/docs/ico/chapter/105.pdf" Type="http://schemas.openxmlformats.org/officeDocument/2006/relationships/hyperlink" Id="rId7"/>
    <Relationship TargetMode="External" Target="https://www.legis.iowa.gov/docs/ico/chapter/87.pdf" Type="http://schemas.openxmlformats.org/officeDocument/2006/relationships/hyperlink" Id="rId8"/>
    <Relationship TargetMode="External" Target="https://www.legis.iowa.gov/docs/ico/chapter/314.pdf" Type="http://schemas.openxmlformats.org/officeDocument/2006/relationships/hyperlink" Id="rId9"/>
    <Relationship TargetMode="External" Target="https://www.legis.iowa.gov/docs/ico/chapter/88.pdf" Type="http://schemas.openxmlformats.org/officeDocument/2006/relationships/hyperlink" Id="rId10"/>
    <Relationship TargetMode="External" Target="https://www.legis.iowa.gov/docs/ico/chapter/91C.pdf" Type="http://schemas.openxmlformats.org/officeDocument/2006/relationships/hyperlink" Id="rId11"/>
    <Relationship TargetMode="External" Target="https://www.legis.iowa.gov/docs/iac/rule/875.150.10.pdf" Type="http://schemas.openxmlformats.org/officeDocument/2006/relationships/hyperlink" Id="rId12"/>
    <Relationship TargetMode="External" Target="https://www.legis.iowa.gov/docs/iac/rule/875.150.11.pdf" Type="http://schemas.openxmlformats.org/officeDocument/2006/relationships/hyperlink" Id="rId13"/>
    <Relationship TargetMode="External" Target="https://www.legis.iowa.gov/docs/ico/chapter/91C.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