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540</w:t>
      </w:r>
    </w:p>
    <w:p>
      <w:pPr>
        <w:spacing w:before="0" w:after="0"/>
        <w:ind w:left="120"/>
        <w:jc w:val="center"/>
      </w:pPr>
      <w:r>
        <w:rPr>
          <w:rFonts w:ascii="Times New Roman" w:hAnsi="Times New Roman"/>
          <w:b w:val="false"/>
          <w:i w:val="false"/>
          <w:color w:val="000000"/>
          <w:sz w:val="21"/>
        </w:rPr>
        <w:t>TRANSPORTATION NETWORK COMPANIES</w:t>
      </w:r>
    </w:p>
    <w:p>
      <w:pPr>
        <w:spacing w:before="0" w:after="0"/>
        <w:ind w:left="120"/>
        <w:jc w:val="both"/>
      </w:pPr>
      <w:r>
        <w:rPr>
          <w:rFonts w:ascii="Times New Roman" w:hAnsi="Times New Roman"/>
          <w:b/>
          <w:i w:val="false"/>
          <w:color w:val="000000"/>
          <w:sz w:val="22"/>
        </w:rPr>
        <w:t>761—540.1</w:t>
      </w:r>
      <w:r>
        <w:rPr>
          <w:rFonts w:ascii="Times New Roman" w:hAnsi="Times New Roman"/>
          <w:b/>
          <w:i w:val="false"/>
          <w:color w:val="000000"/>
          <w:sz w:val="22"/>
        </w:rPr>
        <w:t xml:space="preserve">(321N) </w:t>
      </w:r>
      <w:r>
        <w:rPr>
          <w:rFonts w:ascii="Times New Roman" w:hAnsi="Times New Roman"/>
          <w:b/>
          <w:i w:val="false"/>
          <w:color w:val="000000"/>
          <w:sz w:val="22"/>
        </w:rPr>
        <w:t xml:space="preserve">Purpose and applicability. </w:t>
      </w:r>
      <w:r>
        <w:rPr>
          <w:rFonts w:ascii="Times New Roman" w:hAnsi="Times New Roman"/>
          <w:b w:val="false"/>
          <w:i w:val="false"/>
          <w:color w:val="000000"/>
          <w:sz w:val="22"/>
        </w:rPr>
        <w:t xml:space="preserve">This chapter implements the permitting and regulation requirements of Iowa Code chapter </w:t>
      </w:r>
      <w:hyperlink r:id="rId4">
        <w:r>
          <w:rPr>
            <w:rStyle w:val="Hyperlink"/>
            <w:rFonts w:ascii="Times New Roman" w:hAnsi="Times New Roman"/>
            <w:b w:val="false"/>
            <w:i w:val="false"/>
            <w:color w:val="000000"/>
            <w:sz w:val="22"/>
          </w:rPr>
          <w:t>321N</w:t>
        </w:r>
      </w:hyperlink>
      <w:r>
        <w:rPr>
          <w:rFonts w:ascii="Times New Roman" w:hAnsi="Times New Roman"/>
          <w:b w:val="false"/>
          <w:i w:val="false"/>
          <w:color w:val="000000"/>
          <w:sz w:val="22"/>
        </w:rPr>
        <w:t xml:space="preserve"> and applies to transportation network companies and transportation network company drivers.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761—540.2</w:t>
      </w:r>
      <w:r>
        <w:rPr>
          <w:rFonts w:ascii="Times New Roman" w:hAnsi="Times New Roman"/>
          <w:b/>
          <w:i w:val="false"/>
          <w:color w:val="000000"/>
          <w:sz w:val="22"/>
        </w:rPr>
        <w:t xml:space="preserve">(321N)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321N.1</w:t>
        </w:r>
      </w:hyperlink>
      <w:r>
        <w:rPr>
          <w:rFonts w:ascii="Times New Roman" w:hAnsi="Times New Roman"/>
          <w:b w:val="false"/>
          <w:i w:val="false"/>
          <w:color w:val="000000"/>
          <w:sz w:val="22"/>
        </w:rPr>
        <w:t xml:space="preserve"> are hereby incorporated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761—540.3</w:t>
      </w:r>
      <w:r>
        <w:rPr>
          <w:rFonts w:ascii="Times New Roman" w:hAnsi="Times New Roman"/>
          <w:b/>
          <w:i w:val="false"/>
          <w:color w:val="000000"/>
          <w:sz w:val="22"/>
        </w:rPr>
        <w:t xml:space="preserve">(321N)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540.3(1)</w:t>
      </w:r>
      <w:r>
        <w:rPr>
          <w:rFonts w:ascii="Times New Roman" w:hAnsi="Times New Roman"/>
          <w:b w:val="false"/>
          <w:i w:val="false"/>
          <w:color w:val="000000"/>
          <w:sz w:val="22"/>
        </w:rPr>
        <w:t> </w:t>
      </w:r>
      <w:r>
        <w:rPr>
          <w:rFonts w:ascii="Times New Roman" w:hAnsi="Times New Roman"/>
          <w:b w:val="false"/>
          <w:i/>
          <w:color w:val="000000"/>
          <w:sz w:val="22"/>
        </w:rPr>
        <w:t xml:space="preserve">Information and location. </w:t>
      </w:r>
      <w:r>
        <w:rPr>
          <w:rFonts w:ascii="Times New Roman" w:hAnsi="Times New Roman"/>
          <w:b w:val="false"/>
          <w:i w:val="false"/>
          <w:color w:val="000000"/>
          <w:sz w:val="22"/>
        </w:rPr>
        <w:t xml:space="preserve">Applications, forms, and information regarding transportation network company permits are available by mail from the Motor Vehicle Division, Iowa Department of Transportation, P.O. Box 9278, Des Moines, Iowa 50306-9278; in person at 6310 SE Convenience Blvd., Ankeny, Iowa; by telephone at 515.237.3156; by email at </w:t>
      </w:r>
      <w:hyperlink r:id="rId6">
        <w:r>
          <w:rPr>
            <w:rStyle w:val="Hyperlink"/>
            <w:rFonts w:ascii="Times New Roman" w:hAnsi="Times New Roman"/>
            <w:b w:val="false"/>
            <w:i w:val="false"/>
            <w:color w:val="000000"/>
            <w:sz w:val="22"/>
            <w:u w:val="single"/>
          </w:rPr>
          <w:t>central.vehicle@iowadot.us</w:t>
        </w:r>
      </w:hyperlink>
      <w:r>
        <w:rPr>
          <w:rFonts w:ascii="Times New Roman" w:hAnsi="Times New Roman"/>
          <w:b w:val="false"/>
          <w:i w:val="false"/>
          <w:color w:val="000000"/>
          <w:sz w:val="22"/>
        </w:rPr>
        <w:t xml:space="preserve">; or on the department’s website at </w:t>
      </w:r>
      <w:hyperlink r:id="rId7">
        <w:r>
          <w:rPr>
            <w:rStyle w:val="Hyperlink"/>
            <w:rFonts w:ascii="Times New Roman" w:hAnsi="Times New Roman"/>
            <w:b w:val="false"/>
            <w:i w:val="false"/>
            <w:color w:val="000000"/>
            <w:sz w:val="22"/>
            <w:u w:val="single"/>
          </w:rPr>
          <w:t>www.iowadot.gov/mvd/paid-rideshare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540.3(2)</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Complaints against transportation network companies pertaining to the provisions of Iowa Code chapter </w:t>
      </w:r>
      <w:hyperlink r:id="rId8">
        <w:r>
          <w:rPr>
            <w:rStyle w:val="Hyperlink"/>
            <w:rFonts w:ascii="Times New Roman" w:hAnsi="Times New Roman"/>
            <w:b w:val="false"/>
            <w:i w:val="false"/>
            <w:color w:val="000000"/>
            <w:sz w:val="22"/>
          </w:rPr>
          <w:t>321N</w:t>
        </w:r>
      </w:hyperlink>
      <w:r>
        <w:rPr>
          <w:rFonts w:ascii="Times New Roman" w:hAnsi="Times New Roman"/>
          <w:b w:val="false"/>
          <w:i w:val="false"/>
          <w:color w:val="000000"/>
          <w:sz w:val="22"/>
        </w:rPr>
        <w:t xml:space="preserve"> and this chapter that are within the regulation and jurisdiction of the department may be submitted in writing to the motor vehicle division via the methods listed in subrule </w:t>
      </w:r>
      <w:r>
        <w:rPr>
          <w:rFonts w:ascii="Times New Roman" w:hAnsi="Times New Roman"/>
          <w:b w:val="false"/>
          <w:i w:val="false"/>
          <w:color w:val="000000"/>
          <w:sz w:val="22"/>
        </w:rPr>
        <w:t>540.3(1)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761—540.4</w:t>
      </w:r>
      <w:r>
        <w:rPr>
          <w:rFonts w:ascii="Times New Roman" w:hAnsi="Times New Roman"/>
          <w:b/>
          <w:i w:val="false"/>
          <w:color w:val="000000"/>
          <w:sz w:val="22"/>
        </w:rPr>
        <w:t xml:space="preserve">(321N) </w:t>
      </w:r>
      <w:r>
        <w:rPr>
          <w:rFonts w:ascii="Times New Roman" w:hAnsi="Times New Roman"/>
          <w:b/>
          <w:i w:val="false"/>
          <w:color w:val="000000"/>
          <w:sz w:val="22"/>
        </w:rPr>
        <w:t xml:space="preserve">Application for transportation network company permit and supporting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540.4(1)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An application for a transportation network company permit is to be made to the motor vehicle division using Form 432070 and is to contain the information required in Iowa Code section </w:t>
      </w:r>
      <w:hyperlink r:id="rId9">
        <w:r>
          <w:rPr>
            <w:rStyle w:val="Hyperlink"/>
            <w:rFonts w:ascii="Times New Roman" w:hAnsi="Times New Roman"/>
            <w:b w:val="false"/>
            <w:i w:val="false"/>
            <w:color w:val="000000"/>
            <w:sz w:val="22"/>
          </w:rPr>
          <w:t>321N.2</w:t>
        </w:r>
      </w:hyperlink>
      <w:r>
        <w:rPr>
          <w:rFonts w:ascii="Times New Roman" w:hAnsi="Times New Roman"/>
          <w:b w:val="false"/>
          <w:i w:val="false"/>
          <w:color w:val="000000"/>
          <w:sz w:val="22"/>
        </w:rPr>
        <w:t>, as well as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incorporated or otherwise organized, the transportation network company’s state of incorporation or organization and a statement confirming the transportation network company is in good standing with the transportation network company’s state of incorporation 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confirming the transportation network company’s agreement to comply with all applicable requirements of Iowa Code chapter </w:t>
      </w:r>
      <w:hyperlink r:id="rId10">
        <w:r>
          <w:rPr>
            <w:rStyle w:val="Hyperlink"/>
            <w:rFonts w:ascii="Times New Roman" w:hAnsi="Times New Roman"/>
            <w:b w:val="false"/>
            <w:i w:val="false"/>
            <w:color w:val="000000"/>
            <w:sz w:val="22"/>
          </w:rPr>
          <w:t>321N</w:t>
        </w:r>
      </w:hyperlink>
      <w:r>
        <w:rPr>
          <w:rFonts w:ascii="Times New Roman" w:hAnsi="Times New Roman"/>
          <w:b w:val="false"/>
          <w:i w:val="false"/>
          <w:color w:val="000000"/>
          <w:sz w:val="22"/>
        </w:rPr>
        <w:t xml:space="preserve"> and this chapter, signed by the transportation network company’s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by which the transportation network company will do business in the state of Iowa, if different from the transportation network company’s full legal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transportation network company’s digital network and the means or manner by which the network may be accessed by the transportation network company’s drivers and riders. This paragraph is not intended to and shall not be construed as requiring the disclosure of information proprietary to the transportation network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how the transportation network company has established a means of informing persons seeking approval to serve as transportation network company drivers of the driver’s notification obligations under Iowa Code section </w:t>
      </w:r>
      <w:hyperlink r:id="rId11">
        <w:r>
          <w:rPr>
            <w:rStyle w:val="Hyperlink"/>
            <w:rFonts w:ascii="Times New Roman" w:hAnsi="Times New Roman"/>
            <w:b w:val="false"/>
            <w:i w:val="false"/>
            <w:color w:val="000000"/>
            <w:sz w:val="22"/>
          </w:rPr>
          <w:t>321N.3(2)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how the transportation network company has established a means of making the automobile insurance disclosures required by Iowa Code section </w:t>
      </w:r>
      <w:hyperlink r:id="rId12">
        <w:r>
          <w:rPr>
            <w:rStyle w:val="Hyperlink"/>
            <w:rFonts w:ascii="Times New Roman" w:hAnsi="Times New Roman"/>
            <w:b w:val="false"/>
            <w:i w:val="false"/>
            <w:color w:val="000000"/>
            <w:sz w:val="22"/>
          </w:rPr>
          <w:t>321N.5</w:t>
        </w:r>
      </w:hyperlink>
      <w:r>
        <w:rPr>
          <w:rFonts w:ascii="Times New Roman" w:hAnsi="Times New Roman"/>
          <w:b w:val="false"/>
          <w:i w:val="false"/>
          <w:color w:val="000000"/>
          <w:sz w:val="22"/>
        </w:rPr>
        <w:t xml:space="preserve"> to persons serving as transportation network company drivers.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how the transportation network company has established a means of making the driver and vehicle disclosures required by Iowa Code section </w:t>
      </w:r>
      <w:hyperlink r:id="rId13">
        <w:r>
          <w:rPr>
            <w:rStyle w:val="Hyperlink"/>
            <w:rFonts w:ascii="Times New Roman" w:hAnsi="Times New Roman"/>
            <w:b w:val="false"/>
            <w:i w:val="false"/>
            <w:color w:val="000000"/>
            <w:sz w:val="22"/>
          </w:rPr>
          <w:t>321N.7</w:t>
        </w:r>
      </w:hyperlink>
      <w:r>
        <w:rPr>
          <w:rFonts w:ascii="Times New Roman" w:hAnsi="Times New Roman"/>
          <w:b w:val="false"/>
          <w:i w:val="false"/>
          <w:color w:val="000000"/>
          <w:sz w:val="22"/>
        </w:rPr>
        <w:t xml:space="preserve"> to transportation network company riders.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how the transportation network company has established a means of transmitting an electronic receipt to transportation network company riders as required by Iowa Code section </w:t>
      </w:r>
      <w:hyperlink r:id="rId14">
        <w:r>
          <w:rPr>
            <w:rStyle w:val="Hyperlink"/>
            <w:rFonts w:ascii="Times New Roman" w:hAnsi="Times New Roman"/>
            <w:b w:val="false"/>
            <w:i w:val="false"/>
            <w:color w:val="000000"/>
            <w:sz w:val="22"/>
          </w:rPr>
          <w:t>321N.8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Such other information as may be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540.4(2)</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 xml:space="preserve">The application fee in Iowa Code section </w:t>
      </w:r>
      <w:hyperlink r:id="rId15">
        <w:r>
          <w:rPr>
            <w:rStyle w:val="Hyperlink"/>
            <w:rFonts w:ascii="Times New Roman" w:hAnsi="Times New Roman"/>
            <w:b w:val="false"/>
            <w:i w:val="false"/>
            <w:color w:val="000000"/>
            <w:sz w:val="22"/>
          </w:rPr>
          <w:t>321N.2(2)</w:t>
        </w:r>
      </w:hyperlink>
      <w:r>
        <w:rPr>
          <w:rFonts w:ascii="Times New Roman" w:hAnsi="Times New Roman"/>
          <w:b w:val="false"/>
          <w:i w:val="false"/>
          <w:color w:val="000000"/>
          <w:sz w:val="22"/>
        </w:rPr>
        <w:t xml:space="preserve"> shall be made payable to the Iowa Department of Transportation in the form and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540.4(3)</w:t>
      </w:r>
      <w:r>
        <w:rPr>
          <w:rFonts w:ascii="Times New Roman" w:hAnsi="Times New Roman"/>
          <w:b w:val="false"/>
          <w:i w:val="false"/>
          <w:color w:val="000000"/>
          <w:sz w:val="22"/>
        </w:rPr>
        <w:t> </w:t>
      </w:r>
      <w:r>
        <w:rPr>
          <w:rFonts w:ascii="Times New Roman" w:hAnsi="Times New Roman"/>
          <w:b w:val="false"/>
          <w:i/>
          <w:color w:val="000000"/>
          <w:sz w:val="22"/>
        </w:rPr>
        <w:t xml:space="preserve">Supporting documents. </w:t>
      </w:r>
      <w:r>
        <w:rPr>
          <w:rFonts w:ascii="Times New Roman" w:hAnsi="Times New Roman"/>
          <w:b w:val="false"/>
          <w:i w:val="false"/>
          <w:color w:val="000000"/>
          <w:sz w:val="22"/>
        </w:rPr>
        <w:t xml:space="preserve">The proof required in Iowa Code section </w:t>
      </w:r>
      <w:hyperlink r:id="rId16">
        <w:r>
          <w:rPr>
            <w:rStyle w:val="Hyperlink"/>
            <w:rFonts w:ascii="Times New Roman" w:hAnsi="Times New Roman"/>
            <w:b w:val="false"/>
            <w:i w:val="false"/>
            <w:color w:val="000000"/>
            <w:sz w:val="22"/>
          </w:rPr>
          <w:t>321N.2(2)</w:t>
        </w:r>
      </w:hyperlink>
      <w:r>
        <w:rPr>
          <w:rFonts w:ascii="Times New Roman" w:hAnsi="Times New Roman"/>
          <w:b w:val="false"/>
          <w:i w:val="false"/>
          <w:color w:val="000000"/>
          <w:sz w:val="22"/>
        </w:rPr>
        <w:t xml:space="preserve">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under Iowa Code section </w:t>
      </w:r>
      <w:hyperlink r:id="rId17">
        <w:r>
          <w:rPr>
            <w:rStyle w:val="Hyperlink"/>
            <w:rFonts w:ascii="Times New Roman" w:hAnsi="Times New Roman"/>
            <w:b w:val="false"/>
            <w:i w:val="false"/>
            <w:color w:val="000000"/>
            <w:sz w:val="22"/>
          </w:rPr>
          <w:t>321N.2(2)</w:t>
        </w:r>
      </w:hyperlink>
      <w:r>
        <w:rPr>
          <w:rFonts w:ascii="Times New Roman" w:hAnsi="Times New Roman"/>
          <w:b w:val="false"/>
          <w:i/>
          <w:color w:val="000000"/>
          <w:sz w:val="22"/>
        </w:rPr>
        <w:t>“a”</w:t>
      </w:r>
      <w:r>
        <w:rPr>
          <w:rFonts w:ascii="Times New Roman" w:hAnsi="Times New Roman"/>
          <w:b w:val="false"/>
          <w:i w:val="false"/>
          <w:color w:val="000000"/>
          <w:sz w:val="22"/>
        </w:rPr>
        <w:t xml:space="preserve">(4): a valid certificate of coverage from an insurer governed by Iowa Code chapter </w:t>
      </w:r>
      <w:hyperlink r:id="rId18">
        <w:r>
          <w:rPr>
            <w:rStyle w:val="Hyperlink"/>
            <w:rFonts w:ascii="Times New Roman" w:hAnsi="Times New Roman"/>
            <w:b w:val="false"/>
            <w:i w:val="false"/>
            <w:color w:val="000000"/>
            <w:sz w:val="22"/>
          </w:rPr>
          <w:t>515</w:t>
        </w:r>
      </w:hyperlink>
      <w:r>
        <w:rPr>
          <w:rFonts w:ascii="Times New Roman" w:hAnsi="Times New Roman"/>
          <w:b w:val="false"/>
          <w:i w:val="false"/>
          <w:color w:val="000000"/>
          <w:sz w:val="22"/>
        </w:rPr>
        <w:t xml:space="preserve"> or from a surplus lines insurer governed by Iowa Code chapter </w:t>
      </w:r>
      <w:hyperlink r:id="rId19">
        <w:r>
          <w:rPr>
            <w:rStyle w:val="Hyperlink"/>
            <w:rFonts w:ascii="Times New Roman" w:hAnsi="Times New Roman"/>
            <w:b w:val="false"/>
            <w:i w:val="false"/>
            <w:color w:val="000000"/>
            <w:sz w:val="22"/>
          </w:rPr>
          <w:t>515I</w:t>
        </w:r>
      </w:hyperlink>
      <w:r>
        <w:rPr>
          <w:rFonts w:ascii="Times New Roman" w:hAnsi="Times New Roman"/>
          <w:b w:val="false"/>
          <w:i w:val="false"/>
          <w:color w:val="000000"/>
          <w:sz w:val="22"/>
        </w:rPr>
        <w:t xml:space="preserve">. An acceptable certificate of coverage will demonstrate coverage in the amounts and circumstances required by Iowa Code section </w:t>
      </w:r>
      <w:hyperlink r:id="rId20">
        <w:r>
          <w:rPr>
            <w:rStyle w:val="Hyperlink"/>
            <w:rFonts w:ascii="Times New Roman" w:hAnsi="Times New Roman"/>
            <w:b w:val="false"/>
            <w:i w:val="false"/>
            <w:color w:val="000000"/>
            <w:sz w:val="22"/>
          </w:rPr>
          <w:t>321N.4</w:t>
        </w:r>
      </w:hyperlink>
      <w:r>
        <w:rPr>
          <w:rFonts w:ascii="Times New Roman" w:hAnsi="Times New Roman"/>
          <w:b w:val="false"/>
          <w:i w:val="false"/>
          <w:color w:val="000000"/>
          <w:sz w:val="22"/>
        </w:rPr>
        <w:t xml:space="preserve"> and will certify that, if insurance maintained by a transportation network company driver under Iowa Code chapter </w:t>
      </w:r>
      <w:hyperlink r:id="rId21">
        <w:r>
          <w:rPr>
            <w:rStyle w:val="Hyperlink"/>
            <w:rFonts w:ascii="Times New Roman" w:hAnsi="Times New Roman"/>
            <w:b w:val="false"/>
            <w:i w:val="false"/>
            <w:color w:val="000000"/>
            <w:sz w:val="22"/>
          </w:rPr>
          <w:t>321N</w:t>
        </w:r>
      </w:hyperlink>
      <w:r>
        <w:rPr>
          <w:rFonts w:ascii="Times New Roman" w:hAnsi="Times New Roman"/>
          <w:b w:val="false"/>
          <w:i w:val="false"/>
          <w:color w:val="000000"/>
          <w:sz w:val="22"/>
        </w:rPr>
        <w:t xml:space="preserve"> lapses or does not provide coverage in the amounts or types required by Iowa Code section </w:t>
      </w:r>
      <w:hyperlink r:id="rId22">
        <w:r>
          <w:rPr>
            <w:rStyle w:val="Hyperlink"/>
            <w:rFonts w:ascii="Times New Roman" w:hAnsi="Times New Roman"/>
            <w:b w:val="false"/>
            <w:i w:val="false"/>
            <w:color w:val="000000"/>
            <w:sz w:val="22"/>
          </w:rPr>
          <w:t>321N.4(2)</w:t>
        </w:r>
      </w:hyperlink>
      <w:r>
        <w:rPr>
          <w:rFonts w:ascii="Times New Roman" w:hAnsi="Times New Roman"/>
          <w:b w:val="false"/>
          <w:i w:val="false"/>
          <w:color w:val="000000"/>
          <w:sz w:val="22"/>
        </w:rPr>
        <w:t xml:space="preserve"> or 321N.4(3), the insurance certified in the certificate of coverage will provide coverage in the amounts and types required by Iowa Code section </w:t>
      </w:r>
      <w:hyperlink r:id="rId23">
        <w:r>
          <w:rPr>
            <w:rStyle w:val="Hyperlink"/>
            <w:rFonts w:ascii="Times New Roman" w:hAnsi="Times New Roman"/>
            <w:b w:val="false"/>
            <w:i w:val="false"/>
            <w:color w:val="000000"/>
            <w:sz w:val="22"/>
          </w:rPr>
          <w:t>321N.4(2)</w:t>
        </w:r>
      </w:hyperlink>
      <w:r>
        <w:rPr>
          <w:rFonts w:ascii="Times New Roman" w:hAnsi="Times New Roman"/>
          <w:b w:val="false"/>
          <w:i w:val="false"/>
          <w:color w:val="000000"/>
          <w:sz w:val="22"/>
        </w:rPr>
        <w:t xml:space="preserve"> or 321N.4(3), beginning with the first dollar of the claim, and the insurer providing such coverage shall defend the claim. An acceptable certificate of coverage will also certify that the coverage therein is not dependent on the insurer of a transportation network company driver’s personal vehicle first denying a claim, and does not require the insurer of a personal automobile insurance policy to first deny a claim to trigger coverage and defense under the coverage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under Iowa Code section </w:t>
      </w:r>
      <w:hyperlink r:id="rId24">
        <w:r>
          <w:rPr>
            <w:rStyle w:val="Hyperlink"/>
            <w:rFonts w:ascii="Times New Roman" w:hAnsi="Times New Roman"/>
            <w:b w:val="false"/>
            <w:i w:val="false"/>
            <w:color w:val="000000"/>
            <w:sz w:val="22"/>
          </w:rPr>
          <w:t>321N.2(2)</w:t>
        </w:r>
      </w:hyperlink>
      <w:r>
        <w:rPr>
          <w:rFonts w:ascii="Times New Roman" w:hAnsi="Times New Roman"/>
          <w:b w:val="false"/>
          <w:i/>
          <w:color w:val="000000"/>
          <w:sz w:val="22"/>
        </w:rPr>
        <w:t>“a”</w:t>
      </w:r>
      <w:r>
        <w:rPr>
          <w:rFonts w:ascii="Times New Roman" w:hAnsi="Times New Roman"/>
          <w:b w:val="false"/>
          <w:i w:val="false"/>
          <w:color w:val="000000"/>
          <w:sz w:val="22"/>
        </w:rPr>
        <w:t>(5): a written copy of the applicable policy and an explanation of the manner or means by which the policy is made known to transportation network company drivers and the manner or means by which the policy is enforced.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under Iowa Code section </w:t>
      </w:r>
      <w:hyperlink r:id="rId25">
        <w:r>
          <w:rPr>
            <w:rStyle w:val="Hyperlink"/>
            <w:rFonts w:ascii="Times New Roman" w:hAnsi="Times New Roman"/>
            <w:b w:val="false"/>
            <w:i w:val="false"/>
            <w:color w:val="000000"/>
            <w:sz w:val="22"/>
          </w:rPr>
          <w:t>321N.2(2)</w:t>
        </w:r>
      </w:hyperlink>
      <w:r>
        <w:rPr>
          <w:rFonts w:ascii="Times New Roman" w:hAnsi="Times New Roman"/>
          <w:b w:val="false"/>
          <w:i/>
          <w:color w:val="000000"/>
          <w:sz w:val="22"/>
        </w:rPr>
        <w:t>“a”</w:t>
      </w:r>
      <w:r>
        <w:rPr>
          <w:rFonts w:ascii="Times New Roman" w:hAnsi="Times New Roman"/>
          <w:b w:val="false"/>
          <w:i w:val="false"/>
          <w:color w:val="000000"/>
          <w:sz w:val="22"/>
        </w:rPr>
        <w:t xml:space="preserve">(7): a written copy of each applicable policy and an explanation of the manner or means by which the policy is made known to transportation network company drivers and the manner or means by which the policy is enforced. As used herein, “nondiscrimination policy” means a policy that prohibits discrimination against transportation network company riders on the basis of race, age, disability, religion, color, sex, or national origin. “Accessibility policy” means a policy that prohibits discrimination against and ensures equal opportunity and access to transportation network company riders who are persons with disabilities under the Americans with Disabilities Act of 1990 (ADA) as amended by the ADA Amendments Act of 2008 (P.L.110-325), codified at 42 U.S.C. 12101 et seq.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under Iowa Code section </w:t>
      </w:r>
      <w:hyperlink r:id="rId26">
        <w:r>
          <w:rPr>
            <w:rStyle w:val="Hyperlink"/>
            <w:rFonts w:ascii="Times New Roman" w:hAnsi="Times New Roman"/>
            <w:b w:val="false"/>
            <w:i w:val="false"/>
            <w:color w:val="000000"/>
            <w:sz w:val="22"/>
          </w:rPr>
          <w:t>321N.2(2)</w:t>
        </w:r>
      </w:hyperlink>
      <w:r>
        <w:rPr>
          <w:rFonts w:ascii="Times New Roman" w:hAnsi="Times New Roman"/>
          <w:b w:val="false"/>
          <w:i/>
          <w:color w:val="000000"/>
          <w:sz w:val="22"/>
        </w:rPr>
        <w:t>“a”</w:t>
      </w:r>
      <w:r>
        <w:rPr>
          <w:rFonts w:ascii="Times New Roman" w:hAnsi="Times New Roman"/>
          <w:b w:val="false"/>
          <w:i w:val="false"/>
          <w:color w:val="000000"/>
          <w:sz w:val="22"/>
        </w:rPr>
        <w:t>(8): a written copy of the applicable policy and an explanation of the manner or means by which the policy is made known to the designated records retention officer or responsible staff and the manner or means by which the policy is enforced.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applicable documents identified in </w:t>
      </w:r>
      <w:hyperlink r:id="rId27">
        <w:r>
          <w:rPr>
            <w:rStyle w:val="Hyperlink"/>
            <w:rFonts w:ascii="Times New Roman" w:hAnsi="Times New Roman"/>
            <w:b w:val="false"/>
            <w:i w:val="false"/>
            <w:color w:val="000000"/>
            <w:sz w:val="22"/>
          </w:rPr>
          <w:t>761—subrule 380.7(2)</w:t>
        </w:r>
      </w:hyperlink>
      <w:r>
        <w:rPr>
          <w:rFonts w:ascii="Times New Roman" w:hAnsi="Times New Roman"/>
          <w:b w:val="false"/>
          <w:i w:val="false"/>
          <w:color w:val="000000"/>
          <w:sz w:val="22"/>
        </w:rPr>
        <w:t xml:space="preserve"> and any other documentation, if required by the department, necessary to assess the operational capabilities of any driverless-capable vehicles the transportation network company intends to operate, including for the purpose of determining whether to impose operational restrictions as authorized under rule </w:t>
      </w:r>
      <w:hyperlink r:id="rId28">
        <w:r>
          <w:rPr>
            <w:rStyle w:val="Hyperlink"/>
            <w:rFonts w:ascii="Times New Roman" w:hAnsi="Times New Roman"/>
            <w:b w:val="false"/>
            <w:i w:val="false"/>
            <w:color w:val="000000"/>
            <w:sz w:val="22"/>
          </w:rPr>
          <w:t>761—400.21</w:t>
        </w:r>
      </w:hyperlink>
      <w:r>
        <w:rPr>
          <w:rFonts w:ascii="Times New Roman" w:hAnsi="Times New Roman"/>
          <w:b w:val="false"/>
          <w:i w:val="false"/>
          <w:color w:val="000000"/>
          <w:sz w:val="22"/>
        </w:rPr>
        <w:t>(321).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761—540.5</w:t>
      </w:r>
      <w:r>
        <w:rPr>
          <w:rFonts w:ascii="Times New Roman" w:hAnsi="Times New Roman"/>
          <w:b/>
          <w:i w:val="false"/>
          <w:color w:val="000000"/>
          <w:sz w:val="22"/>
        </w:rPr>
        <w:t xml:space="preserve">(321N) </w:t>
      </w:r>
      <w:r>
        <w:rPr>
          <w:rFonts w:ascii="Times New Roman" w:hAnsi="Times New Roman"/>
          <w:b/>
          <w:i w:val="false"/>
          <w:color w:val="000000"/>
          <w:sz w:val="22"/>
        </w:rPr>
        <w:t xml:space="preserve">Issuance of permit. </w:t>
      </w:r>
      <w:r>
        <w:rPr>
          <w:rFonts w:ascii="Times New Roman" w:hAnsi="Times New Roman"/>
          <w:b w:val="false"/>
          <w:i w:val="false"/>
          <w:color w:val="000000"/>
          <w:sz w:val="22"/>
        </w:rPr>
        <w:t xml:space="preserve">Upon submission of a completed application  as set forth in rule </w:t>
      </w:r>
      <w:hyperlink r:id="rId29">
        <w:r>
          <w:rPr>
            <w:rStyle w:val="Hyperlink"/>
            <w:rFonts w:ascii="Times New Roman" w:hAnsi="Times New Roman"/>
            <w:b w:val="false"/>
            <w:i w:val="false"/>
            <w:color w:val="000000"/>
            <w:sz w:val="22"/>
          </w:rPr>
          <w:t>761—540.4</w:t>
        </w:r>
      </w:hyperlink>
      <w:r>
        <w:rPr>
          <w:rFonts w:ascii="Times New Roman" w:hAnsi="Times New Roman"/>
          <w:b w:val="false"/>
          <w:i w:val="false"/>
          <w:color w:val="000000"/>
          <w:sz w:val="22"/>
        </w:rPr>
        <w:t xml:space="preserve">(321N), the department shall process the application and inform the transportation network company of the package’s status no later than 30 days after the department receives the application. Application statuses for the purpose of this rule are as follows: “in process,” “granted,” and “denied.” If the department informs a transportation network company that the application is “in process,” then the department shall also inform the transportation network company of the reason for the status.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761—540.6</w:t>
      </w:r>
      <w:r>
        <w:rPr>
          <w:rFonts w:ascii="Times New Roman" w:hAnsi="Times New Roman"/>
          <w:b/>
          <w:i w:val="false"/>
          <w:color w:val="000000"/>
          <w:sz w:val="22"/>
        </w:rPr>
        <w:t xml:space="preserve">(321N) </w:t>
      </w:r>
      <w:r>
        <w:rPr>
          <w:rFonts w:ascii="Times New Roman" w:hAnsi="Times New Roman"/>
          <w:b/>
          <w:i w:val="false"/>
          <w:color w:val="000000"/>
          <w:sz w:val="22"/>
        </w:rPr>
        <w:t xml:space="preserve">Amendment to transportation network company permit. </w:t>
      </w:r>
      <w:r>
        <w:rPr>
          <w:rFonts w:ascii="Times New Roman" w:hAnsi="Times New Roman"/>
          <w:b w:val="false"/>
          <w:i w:val="false"/>
          <w:color w:val="000000"/>
          <w:sz w:val="22"/>
        </w:rPr>
        <w:t xml:space="preserve">If during the period the permit is valid any information required and presented in the application under subrule </w:t>
      </w:r>
      <w:r>
        <w:rPr>
          <w:rFonts w:ascii="Times New Roman" w:hAnsi="Times New Roman"/>
          <w:b w:val="false"/>
          <w:i w:val="false"/>
          <w:color w:val="000000"/>
          <w:sz w:val="22"/>
        </w:rPr>
        <w:t>540.4(1)</w:t>
      </w:r>
      <w:r>
        <w:rPr>
          <w:rFonts w:ascii="Times New Roman" w:hAnsi="Times New Roman"/>
          <w:b w:val="false"/>
          <w:i w:val="false"/>
          <w:color w:val="000000"/>
          <w:sz w:val="22"/>
        </w:rPr>
        <w:t xml:space="preserve"> changes, the transportation network company is to notify the motor vehicle division of the change in writing within 30 days after the change. Notification is to include the permit number and a description of the information that has changed and needs to be updated in the department’s records. Submission of amended information is not a request for a new permit or for permit approval and does not extend the period the permit is valid. Upon determination that the information submitted is complete and correct, the department shall update its records and issue an amended permit, if the department determines it is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761—540.7</w:t>
      </w:r>
      <w:r>
        <w:rPr>
          <w:rFonts w:ascii="Times New Roman" w:hAnsi="Times New Roman"/>
          <w:b/>
          <w:i w:val="false"/>
          <w:color w:val="000000"/>
          <w:sz w:val="22"/>
        </w:rPr>
        <w:t xml:space="preserve">(321N) </w:t>
      </w:r>
      <w:r>
        <w:rPr>
          <w:rFonts w:ascii="Times New Roman" w:hAnsi="Times New Roman"/>
          <w:b/>
          <w:i w:val="false"/>
          <w:color w:val="000000"/>
          <w:sz w:val="22"/>
        </w:rPr>
        <w:t xml:space="preserve">Suspension and revocation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540.7(1)</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 xml:space="preserve">If the department determines that the transportation network company has violated Iowa Code chapter </w:t>
      </w:r>
      <w:hyperlink r:id="rId30">
        <w:r>
          <w:rPr>
            <w:rStyle w:val="Hyperlink"/>
            <w:rFonts w:ascii="Times New Roman" w:hAnsi="Times New Roman"/>
            <w:b w:val="false"/>
            <w:i w:val="false"/>
            <w:color w:val="000000"/>
            <w:sz w:val="22"/>
          </w:rPr>
          <w:t>321N</w:t>
        </w:r>
      </w:hyperlink>
      <w:r>
        <w:rPr>
          <w:rFonts w:ascii="Times New Roman" w:hAnsi="Times New Roman"/>
          <w:b w:val="false"/>
          <w:i w:val="false"/>
          <w:color w:val="000000"/>
          <w:sz w:val="22"/>
        </w:rPr>
        <w:t xml:space="preserve"> or this chapter, the department may issue to the transportation network company a written notice of the violation. The written notice shall specify the violation and advise the transportation network company that failure to remedy the violation and to comply with the applicable requirements within 30 days will result in suspension of the permit and the privilege to operate or conduct business as a transportation network company in the state of Iowa. If the transportation network company fails to remedy the violation within 30 days, the department shall issue to the transportation network company a written notice of suspension of the permit and the privilege to operate or conduct business as a transportation network company in the state of Iowa, which will take effect 30 days after service of the written notice of suspension. Once effective, the suspension will remain in effect until the transportation network company demonstrates to the department that the transportation network company is in compliance with the applicable requirements or the permit is revoked or expires,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540.7(2)</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If the department determines that the transportation network company is in continued noncompliance with Iowa Code chapter </w:t>
      </w:r>
      <w:hyperlink r:id="rId31">
        <w:r>
          <w:rPr>
            <w:rStyle w:val="Hyperlink"/>
            <w:rFonts w:ascii="Times New Roman" w:hAnsi="Times New Roman"/>
            <w:b w:val="false"/>
            <w:i w:val="false"/>
            <w:color w:val="000000"/>
            <w:sz w:val="22"/>
          </w:rPr>
          <w:t>321N</w:t>
        </w:r>
      </w:hyperlink>
      <w:r>
        <w:rPr>
          <w:rFonts w:ascii="Times New Roman" w:hAnsi="Times New Roman"/>
          <w:b w:val="false"/>
          <w:i w:val="false"/>
          <w:color w:val="000000"/>
          <w:sz w:val="22"/>
        </w:rPr>
        <w:t xml:space="preserve"> or this chapter, the department shall revoke the transportation network company’s permit and the privilege to operate or conduct business as a transportation network company in the state of Iowa for a minimum of 90 days. Notice of revocation shall be in writing and specify the continued noncompliance. The revocation will take effect 30 days after service of the written notice of revocation and will remain effective until the following criteria are satisfied: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transportation network company submits a new application, application fee, and supporting documents under rule </w:t>
      </w:r>
      <w:hyperlink r:id="rId32">
        <w:r>
          <w:rPr>
            <w:rStyle w:val="Hyperlink"/>
            <w:rFonts w:ascii="Times New Roman" w:hAnsi="Times New Roman"/>
            <w:b w:val="false"/>
            <w:i w:val="false"/>
            <w:color w:val="000000"/>
            <w:sz w:val="22"/>
          </w:rPr>
          <w:t>761—540.4</w:t>
        </w:r>
      </w:hyperlink>
      <w:r>
        <w:rPr>
          <w:rFonts w:ascii="Times New Roman" w:hAnsi="Times New Roman"/>
          <w:b w:val="false"/>
          <w:i w:val="false"/>
          <w:color w:val="000000"/>
          <w:sz w:val="22"/>
        </w:rPr>
        <w:t>(321N).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determines a new permit should be issued under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540.7(3)</w:t>
      </w:r>
      <w:r>
        <w:rPr>
          <w:rFonts w:ascii="Times New Roman" w:hAnsi="Times New Roman"/>
          <w:b w:val="false"/>
          <w:i w:val="false"/>
          <w:color w:val="000000"/>
          <w:sz w:val="22"/>
        </w:rPr>
        <w:t> </w:t>
      </w:r>
      <w:r>
        <w:rPr>
          <w:rFonts w:ascii="Times New Roman" w:hAnsi="Times New Roman"/>
          <w:b w:val="false"/>
          <w:i/>
          <w:color w:val="000000"/>
          <w:sz w:val="22"/>
        </w:rPr>
        <w:t xml:space="preserve">Continued noncompliance. </w:t>
      </w:r>
      <w:r>
        <w:rPr>
          <w:rFonts w:ascii="Times New Roman" w:hAnsi="Times New Roman"/>
          <w:b w:val="false"/>
          <w:i w:val="false"/>
          <w:color w:val="000000"/>
          <w:sz w:val="22"/>
        </w:rPr>
        <w:t xml:space="preserve">As used in this rule, “continued noncompliance” means a violation of Iowa Code chapter </w:t>
      </w:r>
      <w:hyperlink r:id="rId33">
        <w:r>
          <w:rPr>
            <w:rStyle w:val="Hyperlink"/>
            <w:rFonts w:ascii="Times New Roman" w:hAnsi="Times New Roman"/>
            <w:b w:val="false"/>
            <w:i w:val="false"/>
            <w:color w:val="000000"/>
            <w:sz w:val="22"/>
          </w:rPr>
          <w:t>321N</w:t>
        </w:r>
      </w:hyperlink>
      <w:r>
        <w:rPr>
          <w:rFonts w:ascii="Times New Roman" w:hAnsi="Times New Roman"/>
          <w:b w:val="false"/>
          <w:i w:val="false"/>
          <w:color w:val="000000"/>
          <w:sz w:val="22"/>
        </w:rPr>
        <w:t xml:space="preserve"> or this chapter for which a notice of suspension has become effective and has remained in effect for a period of at least 180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761—540.8</w:t>
      </w:r>
      <w:r>
        <w:rPr>
          <w:rFonts w:ascii="Times New Roman" w:hAnsi="Times New Roman"/>
          <w:b/>
          <w:i w:val="false"/>
          <w:color w:val="000000"/>
          <w:sz w:val="22"/>
        </w:rPr>
        <w:t xml:space="preserve">(321N) </w:t>
      </w:r>
      <w:r>
        <w:rPr>
          <w:rFonts w:ascii="Times New Roman" w:hAnsi="Times New Roman"/>
          <w:b/>
          <w:i w:val="false"/>
          <w:color w:val="000000"/>
          <w:sz w:val="22"/>
        </w:rPr>
        <w:t xml:space="preserve">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540.8(1)</w:t>
      </w:r>
      <w:r>
        <w:rPr>
          <w:rFonts w:ascii="Times New Roman" w:hAnsi="Times New Roman"/>
          <w:b w:val="false"/>
          <w:i w:val="false"/>
          <w:color w:val="000000"/>
          <w:sz w:val="22"/>
        </w:rPr>
        <w:t> </w:t>
      </w:r>
      <w:r>
        <w:rPr>
          <w:rFonts w:ascii="Times New Roman" w:hAnsi="Times New Roman"/>
          <w:b w:val="false"/>
          <w:i w:val="false"/>
          <w:color w:val="000000"/>
          <w:sz w:val="22"/>
        </w:rPr>
        <w:t xml:space="preserve">A transportation network company whose permit has been suspended, revoked, or denied may request an informal settlement or a contested case proceeding as provided in </w:t>
      </w:r>
      <w:hyperlink r:id="rId34">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540.8(2)</w:t>
      </w:r>
      <w:r>
        <w:rPr>
          <w:rFonts w:ascii="Times New Roman" w:hAnsi="Times New Roman"/>
          <w:b w:val="false"/>
          <w:i w:val="false"/>
          <w:color w:val="000000"/>
          <w:sz w:val="22"/>
        </w:rPr>
        <w:t> </w:t>
      </w:r>
      <w:r>
        <w:rPr>
          <w:rFonts w:ascii="Times New Roman" w:hAnsi="Times New Roman"/>
          <w:b w:val="false"/>
          <w:i w:val="false"/>
          <w:color w:val="000000"/>
          <w:sz w:val="22"/>
        </w:rPr>
        <w:t>To be timely, the request must be submitted within 20 days of service of the notice of suspension or revocation. A request to appeal a denial may be submitted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540.8(3)</w:t>
      </w:r>
      <w:r>
        <w:rPr>
          <w:rFonts w:ascii="Times New Roman" w:hAnsi="Times New Roman"/>
          <w:b w:val="false"/>
          <w:i w:val="false"/>
          <w:color w:val="000000"/>
          <w:sz w:val="22"/>
        </w:rPr>
        <w:t> </w:t>
      </w:r>
      <w:r>
        <w:rPr>
          <w:rFonts w:ascii="Times New Roman" w:hAnsi="Times New Roman"/>
          <w:b w:val="false"/>
          <w:i w:val="false"/>
          <w:color w:val="000000"/>
          <w:sz w:val="22"/>
        </w:rPr>
        <w:t>The department will stay the suspension or revocation pending resolution of the informal settlement, contested case, or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761—540.9</w:t>
      </w:r>
      <w:r>
        <w:rPr>
          <w:rFonts w:ascii="Times New Roman" w:hAnsi="Times New Roman"/>
          <w:b/>
          <w:i w:val="false"/>
          <w:color w:val="000000"/>
          <w:sz w:val="22"/>
        </w:rPr>
        <w:t xml:space="preserve">(321N) </w:t>
      </w:r>
      <w:r>
        <w:rPr>
          <w:rFonts w:ascii="Times New Roman" w:hAnsi="Times New Roman"/>
          <w:b/>
          <w:i w:val="false"/>
          <w:color w:val="000000"/>
          <w:sz w:val="22"/>
        </w:rPr>
        <w:t xml:space="preserve">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540.9(1)</w:t>
      </w:r>
      <w:r>
        <w:rPr>
          <w:rFonts w:ascii="Times New Roman" w:hAnsi="Times New Roman"/>
          <w:b w:val="false"/>
          <w:i w:val="false"/>
          <w:color w:val="000000"/>
          <w:sz w:val="22"/>
        </w:rPr>
        <w:t> </w:t>
      </w:r>
      <w:r>
        <w:rPr>
          <w:rFonts w:ascii="Times New Roman" w:hAnsi="Times New Roman"/>
          <w:b w:val="false"/>
          <w:i w:val="false"/>
          <w:color w:val="000000"/>
          <w:sz w:val="22"/>
        </w:rPr>
        <w:t xml:space="preserve">A transportation network company that holds a valid permit may renew the permit by submitting, at minimum, the following: (1) the application, (2) the application fee, (3) current proof of insurance as specified in subrule </w:t>
      </w:r>
      <w:r>
        <w:rPr>
          <w:rFonts w:ascii="Times New Roman" w:hAnsi="Times New Roman"/>
          <w:b w:val="false"/>
          <w:i w:val="false"/>
          <w:color w:val="000000"/>
          <w:sz w:val="22"/>
        </w:rPr>
        <w:t>540.4(3)</w:t>
      </w:r>
      <w:r>
        <w:rPr>
          <w:rFonts w:ascii="Times New Roman" w:hAnsi="Times New Roman"/>
          <w:b w:val="false"/>
          <w:i w:val="false"/>
          <w:color w:val="000000"/>
          <w:sz w:val="22"/>
        </w:rPr>
        <w:t xml:space="preserve">, and (4) any supporting documents as set forth in rule  </w:t>
      </w:r>
      <w:hyperlink r:id="rId35">
        <w:r>
          <w:rPr>
            <w:rStyle w:val="Hyperlink"/>
            <w:rFonts w:ascii="Times New Roman" w:hAnsi="Times New Roman"/>
            <w:b w:val="false"/>
            <w:i w:val="false"/>
            <w:color w:val="000000"/>
            <w:sz w:val="22"/>
          </w:rPr>
          <w:t>761—540.4</w:t>
        </w:r>
      </w:hyperlink>
      <w:r>
        <w:rPr>
          <w:rFonts w:ascii="Times New Roman" w:hAnsi="Times New Roman"/>
          <w:b w:val="false"/>
          <w:i w:val="false"/>
          <w:color w:val="000000"/>
          <w:sz w:val="22"/>
        </w:rPr>
        <w:t>(321N) that have changed since the documents were last approved by the department. Any required documentation that has not changed, other than current proof of insurance, does not need to be resubmitted for a permit renewal. The application for renewal must be submitted no more than 60 days before the expiration date of the existing permit and no fewer than 30 days before the expiration date of the existing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540.9(2)</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36">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when a transportation network company has made a timely and sufficient application for the renewal of a valid permit, the existing permit does not expire until the application has been finally determined by the department and, in case the application is denied or the terms of the new permit are limited, until the last day for seeking judicial review of the department’s order or a later date fixed by order of the department or the reviewing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540.9(3)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application for renewal is submitted fewer than 30 days before the expiration date of the existing permit, then the application will be considered a new application and Iowa Code section </w:t>
      </w:r>
      <w:hyperlink r:id="rId37">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xml:space="preserve"> shall not apply. If a transportation network company does not file a renewal application pursuant to this rule, then the original application will expire on the expiration date set forth on the original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540.9(4)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transportation network company initiates an appeal, informal settlement, or contested case proceeding pursuant to rule </w:t>
      </w:r>
      <w:hyperlink r:id="rId38">
        <w:r>
          <w:rPr>
            <w:rStyle w:val="Hyperlink"/>
            <w:rFonts w:ascii="Times New Roman" w:hAnsi="Times New Roman"/>
            <w:b w:val="false"/>
            <w:i w:val="false"/>
            <w:color w:val="000000"/>
            <w:sz w:val="22"/>
          </w:rPr>
          <w:t>761—540.8</w:t>
        </w:r>
      </w:hyperlink>
      <w:r>
        <w:rPr>
          <w:rFonts w:ascii="Times New Roman" w:hAnsi="Times New Roman"/>
          <w:b w:val="false"/>
          <w:i w:val="false"/>
          <w:color w:val="000000"/>
          <w:sz w:val="22"/>
        </w:rPr>
        <w:t xml:space="preserve">(321N) and the original application expires pursuant to the expiration date of the application, then the transportation network company is required to submit a renewal application pursuant to subrule </w:t>
      </w:r>
      <w:r>
        <w:rPr>
          <w:rFonts w:ascii="Times New Roman" w:hAnsi="Times New Roman"/>
          <w:b w:val="false"/>
          <w:i w:val="false"/>
          <w:color w:val="000000"/>
          <w:sz w:val="22"/>
        </w:rPr>
        <w:t>540.9(1)</w:t>
      </w:r>
      <w:r>
        <w:rPr>
          <w:rFonts w:ascii="Times New Roman" w:hAnsi="Times New Roman"/>
          <w:b w:val="false"/>
          <w:i w:val="false"/>
          <w:color w:val="000000"/>
          <w:sz w:val="22"/>
        </w:rPr>
        <w:t xml:space="preserve"> if the transportation network company intends to hold a valid permit under this chapter once the appeal, informal settlement, or contested case proceeding has been finally determined.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761—540.10</w:t>
      </w:r>
      <w:r>
        <w:rPr>
          <w:rFonts w:ascii="Times New Roman" w:hAnsi="Times New Roman"/>
          <w:b/>
          <w:i w:val="false"/>
          <w:color w:val="000000"/>
          <w:sz w:val="22"/>
        </w:rPr>
        <w:t xml:space="preserve">(321N) </w:t>
      </w:r>
      <w:r>
        <w:rPr>
          <w:rFonts w:ascii="Times New Roman" w:hAnsi="Times New Roman"/>
          <w:b/>
          <w:i w:val="false"/>
          <w:color w:val="000000"/>
          <w:sz w:val="22"/>
        </w:rPr>
        <w:t xml:space="preserve">Record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540.10(1)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examines the records of a transportation network company as authorized under Iowa Code section </w:t>
      </w:r>
      <w:hyperlink r:id="rId39">
        <w:r>
          <w:rPr>
            <w:rStyle w:val="Hyperlink"/>
            <w:rFonts w:ascii="Times New Roman" w:hAnsi="Times New Roman"/>
            <w:b w:val="false"/>
            <w:i w:val="false"/>
            <w:color w:val="000000"/>
            <w:sz w:val="22"/>
          </w:rPr>
          <w:t>321N.2(5)</w:t>
        </w:r>
      </w:hyperlink>
      <w:r>
        <w:rPr>
          <w:rFonts w:ascii="Times New Roman" w:hAnsi="Times New Roman"/>
          <w:b w:val="false"/>
          <w:i w:val="false"/>
          <w:color w:val="000000"/>
          <w:sz w:val="22"/>
        </w:rPr>
        <w:t>, the department may request the transportation network company to provide a list of all prearranged rides for a seven-day period or all transportation network company drivers in Iowa for a specific date. The transportation network company shall provide the required information to the department within 30 days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540.10(2)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records provided under subrule </w:t>
      </w:r>
      <w:r>
        <w:rPr>
          <w:rFonts w:ascii="Times New Roman" w:hAnsi="Times New Roman"/>
          <w:b w:val="false"/>
          <w:i w:val="false"/>
          <w:color w:val="000000"/>
          <w:sz w:val="22"/>
        </w:rPr>
        <w:t>540.10(1)</w:t>
      </w:r>
      <w:r>
        <w:rPr>
          <w:rFonts w:ascii="Times New Roman" w:hAnsi="Times New Roman"/>
          <w:b w:val="false"/>
          <w:i w:val="false"/>
          <w:color w:val="000000"/>
          <w:sz w:val="22"/>
        </w:rPr>
        <w:t>, the department may identify a random sample of rides or drivers, or rides and drivers, for review for the specified period. The transportation network company must provide additional information for each driver and each rider for each ride as requested by the department. The department may also require: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driver’s license for the transportation network company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driver’s state-issued vehicle registration, including year, make, model, VIN and license plate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proof of the driver’s financial liability coverage, including the driver’s insurance company name, address, and policy number. In addition, a copy of proof of financial liability coverage maintained to comply with Iowa Code sections </w:t>
      </w:r>
      <w:hyperlink r:id="rId40">
        <w:r>
          <w:rPr>
            <w:rStyle w:val="Hyperlink"/>
            <w:rFonts w:ascii="Times New Roman" w:hAnsi="Times New Roman"/>
            <w:b w:val="false"/>
            <w:i w:val="false"/>
            <w:color w:val="000000"/>
            <w:sz w:val="22"/>
          </w:rPr>
          <w:t>321N.4(2)</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321N.4(3)</w:t>
        </w:r>
      </w:hyperlink>
      <w:r>
        <w:rPr>
          <w:rFonts w:ascii="Times New Roman" w:hAnsi="Times New Roman"/>
          <w:b w:val="false"/>
          <w:i w:val="false"/>
          <w:color w:val="000000"/>
          <w:sz w:val="22"/>
        </w:rPr>
        <w:t xml:space="preserve"> that includes coverages and limits may be satisfied by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Insurance maintained by the transportation network company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Insurance maintained by the transportation network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combination of subparagraphs </w:t>
      </w:r>
      <w:r>
        <w:rPr>
          <w:rFonts w:ascii="Times New Roman" w:hAnsi="Times New Roman"/>
          <w:b w:val="false"/>
          <w:i w:val="false"/>
          <w:color w:val="000000"/>
          <w:sz w:val="22"/>
        </w:rPr>
        <w:t>540.10(2)</w:t>
      </w:r>
      <w:r>
        <w:rPr>
          <w:rFonts w:ascii="Times New Roman" w:hAnsi="Times New Roman"/>
          <w:b w:val="false"/>
          <w:i/>
          <w:color w:val="000000"/>
          <w:sz w:val="22"/>
        </w:rPr>
        <w:t>“c”</w:t>
      </w:r>
      <w:r>
        <w:rPr>
          <w:rFonts w:ascii="Times New Roman" w:hAnsi="Times New Roman"/>
          <w:b w:val="false"/>
          <w:i w:val="false"/>
          <w:color w:val="000000"/>
          <w:sz w:val="22"/>
        </w:rPr>
        <w:t>(1)</w:t>
      </w:r>
      <w:r>
        <w:rPr>
          <w:rFonts w:ascii="Times New Roman" w:hAnsi="Times New Roman"/>
          <w:b w:val="false"/>
          <w:i w:val="false"/>
          <w:color w:val="000000"/>
          <w:sz w:val="22"/>
        </w:rPr>
        <w:t xml:space="preserve"> and </w:t>
      </w:r>
      <w:r>
        <w:rPr>
          <w:rFonts w:ascii="Times New Roman" w:hAnsi="Times New Roman"/>
          <w:b w:val="false"/>
          <w:i w:val="false"/>
          <w:color w:val="000000"/>
          <w:sz w:val="22"/>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or a verification that all necessary disclosures were supplied to the driver by the transportation network company, including the lienholder, vehicle owner, insurance and motor vehicle equipment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all complaints received by the transportation network company from any rider who received a ride from the driver. This includes but is not limited to complaints related to drug or alcohol use, vehicle safety, motor vehicle equipment safety, driver behavior, driver ability or operation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summary or other documentation that shows how the transportation network company resolved any complaint from a rider.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Documentation or verification of the background and sex offender registry check on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electronic ride receipt provided to each rider.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540.10(3)</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provision of subrule </w:t>
      </w:r>
      <w:r>
        <w:rPr>
          <w:rFonts w:ascii="Times New Roman" w:hAnsi="Times New Roman"/>
          <w:b w:val="false"/>
          <w:i w:val="false"/>
          <w:color w:val="000000"/>
          <w:sz w:val="22"/>
        </w:rPr>
        <w:t>540.10(1)</w:t>
      </w:r>
      <w:r>
        <w:rPr>
          <w:rFonts w:ascii="Times New Roman" w:hAnsi="Times New Roman"/>
          <w:b w:val="false"/>
          <w:i w:val="false"/>
          <w:color w:val="000000"/>
          <w:sz w:val="22"/>
        </w:rPr>
        <w:t xml:space="preserve"> to the contrary, the department and the transportation network company may agree to an alternative process or format for the transportation network company to provide the requested records if the records otherwise include the information required in subrule </w:t>
      </w:r>
      <w:r>
        <w:rPr>
          <w:rFonts w:ascii="Times New Roman" w:hAnsi="Times New Roman"/>
          <w:b w:val="false"/>
          <w:i w:val="false"/>
          <w:color w:val="000000"/>
          <w:sz w:val="22"/>
        </w:rPr>
        <w:t>540.10(2)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540.10(4)</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submitted by the transportation network company to the department pursuant to this rule shall maintain the same status, including confidentiality and disclosure requirements as provided in Iowa Code section </w:t>
      </w:r>
      <w:hyperlink r:id="rId42">
        <w:r>
          <w:rPr>
            <w:rStyle w:val="Hyperlink"/>
            <w:rFonts w:ascii="Times New Roman" w:hAnsi="Times New Roman"/>
            <w:b w:val="false"/>
            <w:i w:val="false"/>
            <w:color w:val="000000"/>
            <w:sz w:val="22"/>
          </w:rPr>
          <w:t>321N.2(5)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3">
        <w:r>
          <w:rPr>
            <w:rStyle w:val="Hyperlink"/>
            <w:rFonts w:ascii="Times New Roman" w:hAnsi="Times New Roman"/>
            <w:b w:val="false"/>
            <w:i w:val="false"/>
            <w:color w:val="000000"/>
            <w:sz w:val="22"/>
          </w:rPr>
          <w:t>321.515 </w:t>
        </w:r>
      </w:hyperlink>
      <w:r>
        <w:rPr>
          <w:rFonts w:ascii="Times New Roman" w:hAnsi="Times New Roman"/>
          <w:b w:val="false"/>
          <w:i w:val="false"/>
          <w:color w:val="000000"/>
          <w:sz w:val="22"/>
        </w:rPr>
        <w:t xml:space="preserve">and </w:t>
      </w:r>
      <w:hyperlink r:id="rId44">
        <w:r>
          <w:rPr>
            <w:rStyle w:val="Hyperlink"/>
            <w:rFonts w:ascii="Times New Roman" w:hAnsi="Times New Roman"/>
            <w:b w:val="false"/>
            <w:i w:val="false"/>
            <w:color w:val="000000"/>
            <w:sz w:val="22"/>
          </w:rPr>
          <w:t>321.519 </w:t>
        </w:r>
      </w:hyperlink>
      <w:r>
        <w:rPr>
          <w:rFonts w:ascii="Times New Roman" w:hAnsi="Times New Roman"/>
          <w:b w:val="false"/>
          <w:i w:val="false"/>
          <w:color w:val="000000"/>
          <w:sz w:val="22"/>
        </w:rPr>
        <w:t xml:space="preserve">and chapter </w:t>
      </w:r>
      <w:hyperlink r:id="rId45">
        <w:r>
          <w:rPr>
            <w:rStyle w:val="Hyperlink"/>
            <w:rFonts w:ascii="Times New Roman" w:hAnsi="Times New Roman"/>
            <w:b w:val="false"/>
            <w:i w:val="false"/>
            <w:color w:val="000000"/>
            <w:sz w:val="22"/>
          </w:rPr>
          <w:t>321N.</w:t>
        </w:r>
      </w:hyperlink>
    </w:p>
    <w:p>
      <w:pPr>
        <w:spacing w:before="0" w:after="0"/>
        <w:ind w:left="120"/>
        <w:jc w:val="center"/>
      </w:pPr>
      <w:r>
        <w:rPr>
          <w:rFonts w:ascii="Times New Roman" w:hAnsi="Times New Roman"/>
          <w:b w:val="false"/>
          <w:i w:val="false"/>
          <w:color w:val="000000"/>
          <w:sz w:val="21"/>
        </w:rPr>
        <w:t>[Filed ARC 2987C</w:t>
      </w:r>
      <w:r>
        <w:rPr>
          <w:rFonts w:ascii="Times New Roman" w:hAnsi="Times New Roman"/>
          <w:b w:val="false"/>
          <w:i w:val="false"/>
          <w:color w:val="000000"/>
          <w:sz w:val="21"/>
        </w:rPr>
        <w:t xml:space="preserve"> (Notice ARC 2907C,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3688C</w:t>
      </w:r>
      <w:r>
        <w:rPr>
          <w:rFonts w:ascii="Times New Roman" w:hAnsi="Times New Roman"/>
          <w:b w:val="false"/>
          <w:i w:val="false"/>
          <w:color w:val="000000"/>
          <w:sz w:val="21"/>
        </w:rPr>
        <w:t xml:space="preserve"> (Notice ARC 3572C, IAB 1/17/18)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[Editorial change: IAC Supplement 8/11/21]</w:t>
      </w:r>
    </w:p>
    <w:p>
      <w:pPr>
        <w:spacing w:before="0" w:after="0"/>
        <w:ind w:left="120"/>
        <w:jc w:val="center"/>
      </w:pPr>
      <w:r>
        <w:rPr>
          <w:rFonts w:ascii="Times New Roman" w:hAnsi="Times New Roman"/>
          <w:b w:val="false"/>
          <w:i w:val="false"/>
          <w:color w:val="000000"/>
          <w:sz w:val="21"/>
        </w:rPr>
        <w:t>[Filed ARC 5893C</w:t>
      </w:r>
      <w:r>
        <w:rPr>
          <w:rFonts w:ascii="Times New Roman" w:hAnsi="Times New Roman"/>
          <w:b w:val="false"/>
          <w:i w:val="false"/>
          <w:color w:val="000000"/>
          <w:sz w:val="21"/>
        </w:rPr>
        <w:t xml:space="preserve"> (Notice ARC 5621C, IAB 5/19/21)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6491C</w:t>
      </w:r>
      <w:r>
        <w:rPr>
          <w:rFonts w:ascii="Times New Roman" w:hAnsi="Times New Roman"/>
          <w:b w:val="false"/>
          <w:i w:val="false"/>
          <w:color w:val="000000"/>
          <w:sz w:val="21"/>
        </w:rPr>
        <w:t xml:space="preserve"> (Notice ARC 6312C, IAB 5/4/22)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8788C</w:t>
      </w:r>
      <w:r>
        <w:rPr>
          <w:rFonts w:ascii="Times New Roman" w:hAnsi="Times New Roman"/>
          <w:b w:val="false"/>
          <w:i w:val="false"/>
          <w:color w:val="000000"/>
          <w:sz w:val="21"/>
        </w:rPr>
        <w:t xml:space="preserve"> (Notice ARC 8278C,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N.pdf" Type="http://schemas.openxmlformats.org/officeDocument/2006/relationships/hyperlink" Id="rId4"/>
    <Relationship TargetMode="External" Target="https://www.legis.iowa.gov/docs/ico/chapter/321N.pdf" Type="http://schemas.openxmlformats.org/officeDocument/2006/relationships/hyperlink" Id="rId5"/>
    <Relationship TargetMode="External" Target="mailto:central.vehicle@iowadot.us" Type="http://schemas.openxmlformats.org/officeDocument/2006/relationships/hyperlink" Id="rId6"/>
    <Relationship TargetMode="External" Target="http://www.iowadot.gov/mvd/paid-rideshare" Type="http://schemas.openxmlformats.org/officeDocument/2006/relationships/hyperlink" Id="rId7"/>
    <Relationship TargetMode="External" Target="https://www.legis.iowa.gov/docs/ico/chapter/321N.pdf" Type="http://schemas.openxmlformats.org/officeDocument/2006/relationships/hyperlink" Id="rId8"/>
    <Relationship TargetMode="External" Target="https://www.legis.iowa.gov/docs/ico/chapter/321N.pdf" Type="http://schemas.openxmlformats.org/officeDocument/2006/relationships/hyperlink" Id="rId9"/>
    <Relationship TargetMode="External" Target="https://www.legis.iowa.gov/docs/ico/chapter/321N.pdf" Type="http://schemas.openxmlformats.org/officeDocument/2006/relationships/hyperlink" Id="rId10"/>
    <Relationship TargetMode="External" Target="https://www.legis.iowa.gov/docs/ico/chapter/321N.pdf" Type="http://schemas.openxmlformats.org/officeDocument/2006/relationships/hyperlink" Id="rId11"/>
    <Relationship TargetMode="External" Target="https://www.legis.iowa.gov/docs/ico/chapter/321N.pdf" Type="http://schemas.openxmlformats.org/officeDocument/2006/relationships/hyperlink" Id="rId12"/>
    <Relationship TargetMode="External" Target="https://www.legis.iowa.gov/docs/ico/chapter/321N.pdf" Type="http://schemas.openxmlformats.org/officeDocument/2006/relationships/hyperlink" Id="rId13"/>
    <Relationship TargetMode="External" Target="https://www.legis.iowa.gov/docs/ico/chapter/321N.pdf" Type="http://schemas.openxmlformats.org/officeDocument/2006/relationships/hyperlink" Id="rId14"/>
    <Relationship TargetMode="External" Target="https://www.legis.iowa.gov/docs/ico/chapter/321N.pdf" Type="http://schemas.openxmlformats.org/officeDocument/2006/relationships/hyperlink" Id="rId15"/>
    <Relationship TargetMode="External" Target="https://www.legis.iowa.gov/docs/ico/chapter/321N.pdf" Type="http://schemas.openxmlformats.org/officeDocument/2006/relationships/hyperlink" Id="rId16"/>
    <Relationship TargetMode="External" Target="https://www.legis.iowa.gov/docs/ico/chapter/321N.pdf" Type="http://schemas.openxmlformats.org/officeDocument/2006/relationships/hyperlink" Id="rId17"/>
    <Relationship TargetMode="External" Target="https://www.legis.iowa.gov/docs/ico/chapter/515.pdf" Type="http://schemas.openxmlformats.org/officeDocument/2006/relationships/hyperlink" Id="rId18"/>
    <Relationship TargetMode="External" Target="https://www.legis.iowa.gov/docs/ico/chapter/515I.pdf" Type="http://schemas.openxmlformats.org/officeDocument/2006/relationships/hyperlink" Id="rId19"/>
    <Relationship TargetMode="External" Target="https://www.legis.iowa.gov/docs/ico/chapter/321N.pdf" Type="http://schemas.openxmlformats.org/officeDocument/2006/relationships/hyperlink" Id="rId20"/>
    <Relationship TargetMode="External" Target="https://www.legis.iowa.gov/docs/ico/chapter/321N.pdf" Type="http://schemas.openxmlformats.org/officeDocument/2006/relationships/hyperlink" Id="rId21"/>
    <Relationship TargetMode="External" Target="https://www.legis.iowa.gov/docs/ico/chapter/321N.pdf" Type="http://schemas.openxmlformats.org/officeDocument/2006/relationships/hyperlink" Id="rId22"/>
    <Relationship TargetMode="External" Target="https://www.legis.iowa.gov/docs/ico/chapter/321N.pdf" Type="http://schemas.openxmlformats.org/officeDocument/2006/relationships/hyperlink" Id="rId23"/>
    <Relationship TargetMode="External" Target="https://www.legis.iowa.gov/docs/ico/chapter/321N.pdf" Type="http://schemas.openxmlformats.org/officeDocument/2006/relationships/hyperlink" Id="rId24"/>
    <Relationship TargetMode="External" Target="https://www.legis.iowa.gov/docs/ico/chapter/321N.pdf" Type="http://schemas.openxmlformats.org/officeDocument/2006/relationships/hyperlink" Id="rId25"/>
    <Relationship TargetMode="External" Target="https://www.legis.iowa.gov/docs/ico/chapter/321N.pdf" Type="http://schemas.openxmlformats.org/officeDocument/2006/relationships/hyperlink" Id="rId26"/>
    <Relationship TargetMode="External" Target="https://www.legis.iowa.gov/docs/iac/rule/761.380.7.pdf" Type="http://schemas.openxmlformats.org/officeDocument/2006/relationships/hyperlink" Id="rId27"/>
    <Relationship TargetMode="External" Target="https://www.legis.iowa.gov/docs/iac/rule/761.400.21.pdf" Type="http://schemas.openxmlformats.org/officeDocument/2006/relationships/hyperlink" Id="rId28"/>
    <Relationship TargetMode="External" Target="https://www.legis.iowa.gov/docs/iac/rule/761.540.4.pdf" Type="http://schemas.openxmlformats.org/officeDocument/2006/relationships/hyperlink" Id="rId29"/>
    <Relationship TargetMode="External" Target="https://www.legis.iowa.gov/docs/ico/chapter/321N.pdf" Type="http://schemas.openxmlformats.org/officeDocument/2006/relationships/hyperlink" Id="rId30"/>
    <Relationship TargetMode="External" Target="https://www.legis.iowa.gov/docs/ico/chapter/321N.pdf" Type="http://schemas.openxmlformats.org/officeDocument/2006/relationships/hyperlink" Id="rId31"/>
    <Relationship TargetMode="External" Target="https://www.legis.iowa.gov/docs/iac/rule/761.540.4.pdf" Type="http://schemas.openxmlformats.org/officeDocument/2006/relationships/hyperlink" Id="rId32"/>
    <Relationship TargetMode="External" Target="https://www.legis.iowa.gov/docs/ico/chapter/321N.pdf" Type="http://schemas.openxmlformats.org/officeDocument/2006/relationships/hyperlink" Id="rId33"/>
    <Relationship TargetMode="External" Target="https://www.legis.iowa.gov/docs/iac/chapter/761.13.pdf" Type="http://schemas.openxmlformats.org/officeDocument/2006/relationships/hyperlink" Id="rId34"/>
    <Relationship TargetMode="External" Target="https://www.legis.iowa.gov/docs/iac/rule/761.540.4.pdf" Type="http://schemas.openxmlformats.org/officeDocument/2006/relationships/hyperlink" Id="rId35"/>
    <Relationship TargetMode="External" Target="https://www.legis.iowa.gov/docs/ico/chapter/17A.pdf" Type="http://schemas.openxmlformats.org/officeDocument/2006/relationships/hyperlink" Id="rId36"/>
    <Relationship TargetMode="External" Target="https://www.legis.iowa.gov/docs/ico/chapter/17A.pdf" Type="http://schemas.openxmlformats.org/officeDocument/2006/relationships/hyperlink" Id="rId37"/>
    <Relationship TargetMode="External" Target="https://www.legis.iowa.gov/docs/iac/rule/761.540.8.pdf" Type="http://schemas.openxmlformats.org/officeDocument/2006/relationships/hyperlink" Id="rId38"/>
    <Relationship TargetMode="External" Target="https://www.legis.iowa.gov/docs/ico/chapter/321N.pdf" Type="http://schemas.openxmlformats.org/officeDocument/2006/relationships/hyperlink" Id="rId39"/>
    <Relationship TargetMode="External" Target="https://www.legis.iowa.gov/docs/ico/chapter/321N.pdf" Type="http://schemas.openxmlformats.org/officeDocument/2006/relationships/hyperlink" Id="rId40"/>
    <Relationship TargetMode="External" Target="https://www.legis.iowa.gov/docs/ico/chapter/321N.pdf" Type="http://schemas.openxmlformats.org/officeDocument/2006/relationships/hyperlink" Id="rId41"/>
    <Relationship TargetMode="External" Target="https://www.legis.iowa.gov/docs/ico/chapter/321N.pdf" Type="http://schemas.openxmlformats.org/officeDocument/2006/relationships/hyperlink" Id="rId42"/>
    <Relationship TargetMode="External" Target="https://www.legis.iowa.gov/docs/ico/chapter/321.pdf" Type="http://schemas.openxmlformats.org/officeDocument/2006/relationships/hyperlink" Id="rId43"/>
    <Relationship TargetMode="External" Target="https://www.legis.iowa.gov/docs/ico/chapter/321.pdf" Type="http://schemas.openxmlformats.org/officeDocument/2006/relationships/hyperlink" Id="rId44"/>
    <Relationship TargetMode="External" Target="https://www.legis.iowa.gov/docs/ico/chapter/321N.pdf" Type="http://schemas.openxmlformats.org/officeDocument/2006/relationships/hyperlink"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