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PRIMARY HIGHWAY ACCESS CONTROL</w:t>
      </w:r>
    </w:p>
    <w:p>
      <w:pPr>
        <w:spacing w:before="0" w:after="0"/>
        <w:ind w:left="120"/>
        <w:jc w:val="center"/>
      </w:pPr>
      <w:r>
        <w:rPr>
          <w:rFonts w:ascii="Times New Roman" w:hAnsi="Times New Roman"/>
          <w:b w:val="false"/>
          <w:i w:val="false"/>
          <w:color w:val="000000"/>
          <w:sz w:val="14"/>
        </w:rPr>
        <w:t>[Prior to 6/3/87, Transportation Department[820]—(06,C) Ch 1]</w:t>
      </w:r>
    </w:p>
    <w:p>
      <w:pPr>
        <w:spacing w:before="0" w:after="0"/>
        <w:ind w:left="120"/>
        <w:jc w:val="both"/>
      </w:pPr>
      <w:r>
        <w:rPr>
          <w:rFonts w:ascii="Times New Roman" w:hAnsi="Times New Roman"/>
          <w:b/>
          <w:i w:val="false"/>
          <w:color w:val="000000"/>
          <w:sz w:val="22"/>
        </w:rPr>
        <w:t>761—112.1</w:t>
      </w:r>
      <w:r>
        <w:rPr>
          <w:rFonts w:ascii="Times New Roman" w:hAnsi="Times New Roman"/>
          <w:b/>
          <w:i w:val="false"/>
          <w:color w:val="000000"/>
          <w:sz w:val="22"/>
        </w:rPr>
        <w:t xml:space="preserve">(306A,318) </w:t>
      </w:r>
      <w:r>
        <w:rPr>
          <w:rFonts w:ascii="Times New Roman" w:hAnsi="Times New Roman"/>
          <w:b/>
          <w:i w:val="false"/>
          <w:color w:val="000000"/>
          <w:sz w:val="22"/>
        </w:rPr>
        <w:t xml:space="preserve">Scope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Statement of policy. </w:t>
      </w:r>
      <w:r>
        <w:rPr>
          <w:rFonts w:ascii="Times New Roman" w:hAnsi="Times New Roman"/>
          <w:b w:val="false"/>
          <w:i w:val="false"/>
          <w:color w:val="000000"/>
          <w:sz w:val="22"/>
        </w:rPr>
        <w:t>All primary highways are controlled access facilities. The efficiency and safety of a highway depend to a large extent upon the amount and character of interruptions to the movement of traffic. The primary cause of these interruptions is vehicular movement to and from public roadways, businesses, residences, and other developments along the highway. Regulation and overall control of highway access are necessary to provide efficient and safe highway operation and to utilize the full potential of the highway investment. Each highway access connection should be located and designed to achieve the least adverse impact to traffic operations and public safety. Accordingly, the department hereby establishes rules for control of access for all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regarding this chapter may be obtained from the department’s website at: </w:t>
      </w:r>
      <w:hyperlink r:id="rId4">
        <w:r>
          <w:rPr>
            <w:rStyle w:val="Hyperlink"/>
            <w:rFonts w:ascii="Times New Roman" w:hAnsi="Times New Roman"/>
            <w:b w:val="false"/>
            <w:i w:val="false"/>
            <w:color w:val="000000"/>
            <w:sz w:val="22"/>
            <w:u w:val="single"/>
          </w:rPr>
          <w:t>www.iowadot.gov/traffic/Access-Management/Access-Management-</w:t>
        </w:r>
        <w:r>
          <w:br/>
        </w:r>
        <w:r>
          <w:rPr>
            <w:rFonts w:ascii="Times New Roman" w:hAnsi="Times New Roman"/>
            <w:b w:val="false"/>
            <w:i w:val="false"/>
            <w:color w:val="000000"/>
            <w:sz w:val="22"/>
            <w:u w:val="single"/>
          </w:rPr>
          <w:t>Resources</w:t>
        </w:r>
      </w:hyperlink>
      <w:r>
        <w:rPr>
          <w:rFonts w:ascii="Times New Roman" w:hAnsi="Times New Roman"/>
          <w:b w:val="false"/>
          <w:i w:val="false"/>
          <w:color w:val="000000"/>
          <w:sz w:val="22"/>
        </w:rPr>
        <w:t>; any of the department’s six district offices; or the Traffic and Safety Bureau,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761—112.2</w:t>
      </w:r>
      <w:r>
        <w:rPr>
          <w:rFonts w:ascii="Times New Roman" w:hAnsi="Times New Roman"/>
          <w:b/>
          <w:i w:val="false"/>
          <w:color w:val="000000"/>
          <w:sz w:val="22"/>
        </w:rPr>
        <w:t xml:space="preserve">(306A,321)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means a way or means of egress from or ingress to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connection” </w:t>
      </w:r>
      <w:r>
        <w:rPr>
          <w:rFonts w:ascii="Times New Roman" w:hAnsi="Times New Roman"/>
          <w:b w:val="false"/>
          <w:i w:val="false"/>
          <w:color w:val="000000"/>
          <w:sz w:val="22"/>
        </w:rPr>
        <w:t>means any point of motor vehicle ingress to or egress from a highway. It is the physical connection between the edge of the traveled way and the abutting property and is exclusive of the roadway and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annual daily traffic”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“AADT” </w:t>
      </w:r>
      <w:r>
        <w:rPr>
          <w:rFonts w:ascii="Times New Roman" w:hAnsi="Times New Roman"/>
          <w:b w:val="false"/>
          <w:i w:val="false"/>
          <w:color w:val="000000"/>
          <w:sz w:val="22"/>
        </w:rPr>
        <w:t>means the total volume of traffic passing a point or segment of a highway facility in both directions for one year divided by the number of days in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area” </w:t>
      </w:r>
      <w:r>
        <w:rPr>
          <w:rFonts w:ascii="Times New Roman" w:hAnsi="Times New Roman"/>
          <w:b w:val="false"/>
          <w:i w:val="false"/>
          <w:color w:val="000000"/>
          <w:sz w:val="22"/>
        </w:rPr>
        <w:t>includes any area upstream or downstream of an intersection where intersection operation and conflicts significantly influence driver behavior and vehicle operations. The functional area of an intersection is a calculated value based on the intersection’s geometrics, posted speed limit, traffic volume, type of traffic control used and perception-reaction-time values determined by the American Association of State Highway and Transportation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w:t>
      </w:r>
      <w:r>
        <w:rPr>
          <w:rFonts w:ascii="Times New Roman" w:hAnsi="Times New Roman"/>
          <w:b w:val="false"/>
          <w:i w:val="false"/>
          <w:color w:val="000000"/>
          <w:sz w:val="22"/>
        </w:rPr>
        <w:t xml:space="preserve">means the same as “street” or “highway” as defined in Iowa Code section </w:t>
      </w:r>
      <w:hyperlink r:id="rId5">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“Intersection”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“Necessity” </w:t>
      </w:r>
      <w:r>
        <w:rPr>
          <w:rFonts w:ascii="Times New Roman" w:hAnsi="Times New Roman"/>
          <w:b w:val="false"/>
          <w:i w:val="false"/>
          <w:color w:val="000000"/>
          <w:sz w:val="22"/>
        </w:rPr>
        <w:t>means the access is required or indispensable to the property because of circumstances that cannot be sufficiently mitigated by other means. Proof of necessity refers to documents, data, maps and other information submitted to illustrate and verify the claim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highway” </w:t>
      </w:r>
      <w:r>
        <w:rPr>
          <w:rFonts w:ascii="Times New Roman" w:hAnsi="Times New Roman"/>
          <w:b w:val="false"/>
          <w:i w:val="false"/>
          <w:color w:val="000000"/>
          <w:sz w:val="22"/>
        </w:rPr>
        <w:t>means a highway that is under department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“Ramp” </w:t>
      </w:r>
      <w:r>
        <w:rPr>
          <w:rFonts w:ascii="Times New Roman" w:hAnsi="Times New Roman"/>
          <w:b w:val="false"/>
          <w:i w:val="false"/>
          <w:color w:val="000000"/>
          <w:sz w:val="22"/>
        </w:rPr>
        <w:t>means a special lane, usually a short section of one-way roadway, that provides an access connection between two roads to enter or exit a major highway. The term “ramp” includes but is not limited to entrance ramps, roadway ramps, loop roads and collector-distributor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 A divided highway has two or more roadways.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“Traveled way” </w:t>
      </w:r>
      <w:r>
        <w:rPr>
          <w:rFonts w:ascii="Times New Roman" w:hAnsi="Times New Roman"/>
          <w:b w:val="false"/>
          <w:i w:val="false"/>
          <w:color w:val="000000"/>
          <w:sz w:val="22"/>
        </w:rPr>
        <w:t>means the portion of a roadway used for the through movement of vehicles, excluding shoulders, gutters and auxiliary turn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“Trip” </w:t>
      </w:r>
      <w:r>
        <w:rPr>
          <w:rFonts w:ascii="Times New Roman" w:hAnsi="Times New Roman"/>
          <w:b w:val="false"/>
          <w:i w:val="false"/>
          <w:color w:val="000000"/>
          <w:sz w:val="22"/>
        </w:rPr>
        <w:t>means a single or one-directional vehicle movement. A vehicle leaving the highway and entering a property is one trip, and the vehicle leaving the property and entering the highway is a second trip.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761—112.3</w:t>
      </w:r>
      <w:r>
        <w:rPr>
          <w:rFonts w:ascii="Times New Roman" w:hAnsi="Times New Roman"/>
          <w:b/>
          <w:i w:val="false"/>
          <w:color w:val="000000"/>
          <w:sz w:val="22"/>
        </w:rPr>
        <w:t xml:space="preserve">(306A)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following provisions govern access encroachments onto a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val="false"/>
          <w:color w:val="000000"/>
          <w:sz w:val="22"/>
        </w:rPr>
        <w:t>Access connection construction activity on a highway shall not begin until an access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access permit is required when there will be a change in use of the access connection. A change in access use includes but is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in the predominant vehicle types using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increase in traffic volumes using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original design and engineering limitations have been exceeded by the current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use has not been authorized by the terms and conditions of the existing access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val="false"/>
          <w:color w:val="000000"/>
          <w:sz w:val="22"/>
        </w:rPr>
        <w:t>A person shall not drive a motor vehicle to or from a highway at a location that is not an authorized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val="false"/>
          <w:color w:val="000000"/>
          <w:sz w:val="22"/>
        </w:rPr>
        <w:t>Access rights shall not accrue from, nor will additional access be provided upon, the splitting or dividing of existing parcels of land or contiguous parcels under the same ownership or controlling interest unless the proposed access complies with access category and design requirements and is permitted. Adjacent properties under common ownership or control, consolidated for development, or part of a phased development plan are considered one unit, and a unified access and circulation plan must be established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112.3(5)</w:t>
      </w:r>
      <w:r>
        <w:rPr>
          <w:rFonts w:ascii="Times New Roman" w:hAnsi="Times New Roman"/>
          <w:b w:val="false"/>
          <w:i w:val="false"/>
          <w:color w:val="000000"/>
          <w:sz w:val="22"/>
        </w:rPr>
        <w:t> </w:t>
      </w:r>
      <w:r>
        <w:rPr>
          <w:rFonts w:ascii="Times New Roman" w:hAnsi="Times New Roman"/>
          <w:b w:val="false"/>
          <w:i w:val="false"/>
          <w:color w:val="000000"/>
          <w:sz w:val="22"/>
        </w:rPr>
        <w:t>No rights of access are conveyed when the department provides a new access connection or modifies an existing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112.3(6)</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any permit are binding upon the applicant, the property owner and all assigns, successors-in-interest, heirs and occupants. If an assign, successor-in-interest, heir or occupant does not accept the terms and conditions of an existing permit, the assign, successor-in-interest, heir or occupant shall apply for a new access permit or a permit to close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112.3(7)</w:t>
      </w:r>
      <w:r>
        <w:rPr>
          <w:rFonts w:ascii="Times New Roman" w:hAnsi="Times New Roman"/>
          <w:b w:val="false"/>
          <w:i w:val="false"/>
          <w:color w:val="000000"/>
          <w:sz w:val="22"/>
        </w:rPr>
        <w:t> </w:t>
      </w:r>
      <w:r>
        <w:rPr>
          <w:rFonts w:ascii="Times New Roman" w:hAnsi="Times New Roman"/>
          <w:b w:val="false"/>
          <w:i w:val="false"/>
          <w:color w:val="000000"/>
          <w:sz w:val="22"/>
        </w:rPr>
        <w:t>A property owner not wanting to assume responsibility for an access or the access’s requirements may apply for access removal at the property owner’s expense. An exception may be made for removals during highway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112.3(8)</w:t>
      </w:r>
      <w:r>
        <w:rPr>
          <w:rFonts w:ascii="Times New Roman" w:hAnsi="Times New Roman"/>
          <w:b w:val="false"/>
          <w:i w:val="false"/>
          <w:color w:val="000000"/>
          <w:sz w:val="22"/>
        </w:rPr>
        <w:t> </w:t>
      </w:r>
      <w:r>
        <w:rPr>
          <w:rFonts w:ascii="Times New Roman" w:hAnsi="Times New Roman"/>
          <w:b w:val="false"/>
          <w:i w:val="false"/>
          <w:color w:val="000000"/>
          <w:sz w:val="22"/>
        </w:rPr>
        <w:t>A permit grants no property rights or interests in state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112.3(9)</w:t>
      </w:r>
      <w:r>
        <w:rPr>
          <w:rFonts w:ascii="Times New Roman" w:hAnsi="Times New Roman"/>
          <w:b w:val="false"/>
          <w:i w:val="false"/>
          <w:color w:val="000000"/>
          <w:sz w:val="22"/>
        </w:rPr>
        <w:t> </w:t>
      </w:r>
      <w:r>
        <w:rPr>
          <w:rFonts w:ascii="Times New Roman" w:hAnsi="Times New Roman"/>
          <w:b w:val="false"/>
          <w:i w:val="false"/>
          <w:color w:val="000000"/>
          <w:sz w:val="22"/>
        </w:rPr>
        <w:t>Where there are multiple accesses to the same parcel, the department may consolidate existing access connections during a highway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112.3(10)</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regarding operational modifications to the highway and all access connections.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761—112.4</w:t>
      </w:r>
      <w:r>
        <w:rPr>
          <w:rFonts w:ascii="Times New Roman" w:hAnsi="Times New Roman"/>
          <w:b/>
          <w:i w:val="false"/>
          <w:color w:val="000000"/>
          <w:sz w:val="22"/>
        </w:rPr>
        <w:t xml:space="preserve">(17A,306A,318) </w:t>
      </w:r>
      <w:r>
        <w:rPr>
          <w:rFonts w:ascii="Times New Roman" w:hAnsi="Times New Roman"/>
          <w:b/>
          <w:i w:val="false"/>
          <w:color w:val="000000"/>
          <w:sz w:val="22"/>
        </w:rPr>
        <w:t xml:space="preserve">Permitting process. </w:t>
      </w:r>
      <w:r>
        <w:rPr>
          <w:rFonts w:ascii="Times New Roman" w:hAnsi="Times New Roman"/>
          <w:b w:val="false"/>
          <w:i w:val="false"/>
          <w:color w:val="000000"/>
          <w:sz w:val="22"/>
        </w:rPr>
        <w:t>An access permit is required for an encroachment onto a public right-of-way for the construction, reconstruction or modification of an access connection or any of its related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an access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an access permit, applicants will use the web-based system found at </w:t>
      </w:r>
      <w:hyperlink r:id="rId8">
        <w:r>
          <w:rPr>
            <w:rStyle w:val="Hyperlink"/>
            <w:rFonts w:ascii="Times New Roman" w:hAnsi="Times New Roman"/>
            <w:b w:val="false"/>
            <w:i w:val="false"/>
            <w:color w:val="000000"/>
            <w:sz w:val="22"/>
            <w:u w:val="single"/>
          </w:rPr>
          <w:t>eps.iowadot.gov</w:t>
        </w:r>
      </w:hyperlink>
      <w:r>
        <w:rPr>
          <w:rFonts w:ascii="Times New Roman" w:hAnsi="Times New Roman"/>
          <w:b w:val="false"/>
          <w:i w:val="false"/>
          <w:color w:val="000000"/>
          <w:sz w:val="22"/>
        </w:rPr>
        <w:t>. If the applicant cannot use or connect to this electronic system, the applicant may contact the appropriate district office that is responsible for the area in which the proposed access is located. An applicant may be the property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access application and permit are required for each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Intentional misrepresentation of existing or future conditions or providing false information is considered sufficient grounds for denial or revocation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any location and design plans that describe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 estimate of the traffic volume of the access and the property as a whole. The estimate will include the anticipated average daily or hourly use and the anticipated access use upon the full development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access types A and B as defined in subrule </w:t>
      </w:r>
      <w:hyperlink r:id="rId9">
        <w:r>
          <w:rPr>
            <w:rStyle w:val="Hyperlink"/>
            <w:rFonts w:ascii="Times New Roman" w:hAnsi="Times New Roman"/>
            <w:b w:val="false"/>
            <w:i w:val="false"/>
            <w:color w:val="000000"/>
            <w:sz w:val="22"/>
          </w:rPr>
          <w:t>112.5(2)</w:t>
        </w:r>
      </w:hyperlink>
      <w:r>
        <w:rPr>
          <w:rFonts w:ascii="Times New Roman" w:hAnsi="Times New Roman"/>
          <w:b w:val="false"/>
          <w:i w:val="false"/>
          <w:color w:val="000000"/>
          <w:sz w:val="22"/>
        </w:rPr>
        <w:t xml:space="preserve"> and public intersections, the department requires a traffic impact analysis from the applicant during the processing of a permit request, except when the appropriate district engineer determines an analysis is not necessary. Such traffic impact analysis must be prepared by a professional engineer licensed in Iowa and at the cost of the applicant. The analysis will address a current and 20-year projection of traffic activity and impacts at and near the proposed access connection, including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applicant to comply with all local ordinances and any other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color w:val="000000"/>
          <w:sz w:val="22"/>
        </w:rPr>
        <w:t xml:space="preserve">Processing an access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the department will begin processing the application using the electronic permitting system. The department will apply the criteria as required by this chapter, including access type, access category, location, design, public safety and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access permit with terms and conditions or deny the application if it fails to meet this chapter’s requirements. The department representative will notify the applicant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an application it deems incomplete and will notify the applicant of additional information needed to complete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mutual agreement by the department and applicant, the department may suspend or extend the process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may withdraw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color w:val="000000"/>
          <w:sz w:val="22"/>
        </w:rPr>
        <w:t xml:space="preserve">Permit terms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access permit will include terms and conditions necessary to meet the requirements of this chapter and include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category pursuant to rule </w:t>
      </w:r>
      <w:hyperlink r:id="rId10">
        <w:r>
          <w:rPr>
            <w:rStyle w:val="Hyperlink"/>
            <w:rFonts w:ascii="Times New Roman" w:hAnsi="Times New Roman"/>
            <w:b w:val="false"/>
            <w:i w:val="false"/>
            <w:color w:val="000000"/>
            <w:sz w:val="22"/>
          </w:rPr>
          <w:t>761—112.5</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location and design pursuant to rule </w:t>
      </w:r>
      <w:hyperlink r:id="rId11">
        <w:r>
          <w:rPr>
            <w:rStyle w:val="Hyperlink"/>
            <w:rFonts w:ascii="Times New Roman" w:hAnsi="Times New Roman"/>
            <w:b w:val="false"/>
            <w:i w:val="false"/>
            <w:color w:val="000000"/>
            <w:sz w:val="22"/>
          </w:rPr>
          <w:t>761—112.6</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traffic-carrying capacity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Protection of the public investment in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turning movements as necessary to reduce adverse impacts. The department will consider the 20-year projection of traffic volumes on the roadway and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permits expire after one year if construction of the access is not initiated and no extension of time has been requested and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the owner’s authorized agent agree by accepting the permit to indemnify, defend and hold harmless the state of Iowa and its employees from all claims arising out of construction or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applicant assume liability for the construction and ongoing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permittee shall maintain the access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department has not received the signed copy of the permit within 60 days of the date of transmittal to the applicant, the permit is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color w:val="000000"/>
          <w:sz w:val="22"/>
        </w:rPr>
        <w:t xml:space="preserve">Permits where department owns 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only where the department has determined there is no longer the necessity for the controlled access line at the proposed location. The department may issue an access permit if all design and location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becomes necessary to close the access, the property owner will be notified in advance and any permit will be revoked. The access application and permitting process do not include any rights of appeal where the department is the owner of the access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permittee who objects to any terms or conditions placed on an access permit, the denial of a permit, or the closure or revocation of an access may appeal the department’s decision. If the department owns the access rights, this subrule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be submitted to the appropriate district engineer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closure or revocation of an access or the denial of a permit must be submitted within 60 days of receipt of the department’s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terms or conditions placed on an access permit must be submitted within 60 days of when the department sends the applicant the signed copy of the permit with terms or conditions for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appeal must include reasons for the request and may include changes, revisions or conditions that would be acceptable to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engineer will issue a written decision to the applicant or permittee within 60 days of receipt of the appeal or within 60 days after receipt of requested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the written decision, the applicant or permittee may appeal the district engineer’s decision by submitting the appeal along with background information to the director of transportation. The director will issue a written decision within 60 days of receipt of the appeal. The director’s decision is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may, in response to a written petition, waive provisions of this chapter in accordance with </w:t>
      </w:r>
      <w:hyperlink r:id="rId12">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The written petition must contain the information as required in </w:t>
      </w:r>
      <w:hyperlink r:id="rId13">
        <w:r>
          <w:rPr>
            <w:rStyle w:val="Hyperlink"/>
            <w:rFonts w:ascii="Times New Roman" w:hAnsi="Times New Roman"/>
            <w:b w:val="false"/>
            <w:i w:val="false"/>
            <w:color w:val="000000"/>
            <w:sz w:val="22"/>
          </w:rPr>
          <w:t>761—subrule 11.5(2)</w:t>
        </w:r>
      </w:hyperlink>
      <w:r>
        <w:rPr>
          <w:rFonts w:ascii="Times New Roman" w:hAnsi="Times New Roman"/>
          <w:b w:val="false"/>
          <w:i w:val="false"/>
          <w:color w:val="000000"/>
          <w:sz w:val="22"/>
        </w:rPr>
        <w:t xml:space="preserve"> and shall be submitted to the rules administrator, either by mail to Rules Administrator, Government and Community Relations, Iowa Department of Transportation, 800 Lincoln Way, Ames, Iowa 50010; or by email to the rules administrator’s email address listed on the department’s website at </w:t>
      </w:r>
      <w:hyperlink r:id="rId14">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112.4(7)</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of transportation shall not waive these rules in access situations involving the interstate highway system, including its ramps, without the approval of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761—112.5</w:t>
      </w:r>
      <w:r>
        <w:rPr>
          <w:rFonts w:ascii="Times New Roman" w:hAnsi="Times New Roman"/>
          <w:b/>
          <w:i w:val="false"/>
          <w:color w:val="000000"/>
          <w:sz w:val="22"/>
        </w:rPr>
        <w:t xml:space="preserve">(306A) </w:t>
      </w:r>
      <w:r>
        <w:rPr>
          <w:rFonts w:ascii="Times New Roman" w:hAnsi="Times New Roman"/>
          <w:b/>
          <w:i w:val="false"/>
          <w:color w:val="000000"/>
          <w:sz w:val="22"/>
        </w:rPr>
        <w:t xml:space="preserve">Access types and the primary highway category system. </w:t>
      </w:r>
      <w:r>
        <w:rPr>
          <w:rFonts w:ascii="Times New Roman" w:hAnsi="Times New Roman"/>
          <w:b w:val="false"/>
          <w:i w:val="false"/>
          <w:color w:val="000000"/>
          <w:sz w:val="22"/>
        </w:rPr>
        <w:t>This rule manages access connections according to highway function, design, traffic volumes, speed and roadside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assign access categories to all highways according to the descriptions in subrule </w:t>
      </w:r>
      <w:hyperlink r:id="rId15">
        <w:r>
          <w:rPr>
            <w:rStyle w:val="Hyperlink"/>
            <w:rFonts w:ascii="Times New Roman" w:hAnsi="Times New Roman"/>
            <w:b w:val="false"/>
            <w:i w:val="false"/>
            <w:color w:val="000000"/>
            <w:sz w:val="22"/>
          </w:rPr>
          <w:t>112.5(3)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minimum or maximum distance criteria for the length of a category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assign a specific category to a segment of highway based on operational needs and to maintain consistency along a specific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an access category assignment schedule for the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Municipal access categories are for primary highway extensions within municipalities where concurrent jurisdiction applies pursuant to Iowa Code section </w:t>
      </w:r>
      <w:hyperlink r:id="rId16">
        <w:r>
          <w:rPr>
            <w:rStyle w:val="Hyperlink"/>
            <w:rFonts w:ascii="Times New Roman" w:hAnsi="Times New Roman"/>
            <w:b w:val="false"/>
            <w:i w:val="false"/>
            <w:color w:val="000000"/>
            <w:sz w:val="22"/>
          </w:rPr>
          <w:t>306.4(4)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all access categories, access connections should be kept to the minimum necessary to provide reasonable access. A second access to a parcel may be provided only if it meets spacing criteria, internal circulation is not feasible, and there is a necessity for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category allows type D access, an additional type D access may be granted to a parcel if the necessity due to topography problems or ongoing agricultural activities is demonstrated. A change in use of the parcel of land serviced by the type D access requires a new permit and may result in closure of the access if the location will not meet access category requirements for another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secondary access for emergency fire services needed to meet local fire safety regulations may be permitted on all categories except for the categories interstate and freeway (I/F), expressway (E), and municipal expressway (ME) and across controlled access lines. Such emergency access may be permitted only if it is not feasible to provide the emergency access to a secondary roadway. A written explanation with references to local standards from an appropriate government safety official must be included with the application. The access shall be maintained by the permittee as a closed access except during emergencies. Hidden pavement structures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Access connections to government parcels will be treated the same as private access types based on volume with the exception of egress access connections used specifically for emergency response services such as fire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112.5(2)</w:t>
      </w:r>
      <w:r>
        <w:rPr>
          <w:rFonts w:ascii="Times New Roman" w:hAnsi="Times New Roman"/>
          <w:b w:val="false"/>
          <w:i w:val="false"/>
          <w:color w:val="000000"/>
          <w:sz w:val="22"/>
        </w:rPr>
        <w:t> </w:t>
      </w:r>
      <w:r>
        <w:rPr>
          <w:rFonts w:ascii="Times New Roman" w:hAnsi="Times New Roman"/>
          <w:b w:val="false"/>
          <w:i/>
          <w:color w:val="000000"/>
          <w:sz w:val="22"/>
        </w:rPr>
        <w:t xml:space="preserve">Access types. </w:t>
      </w:r>
      <w:r>
        <w:rPr>
          <w:rFonts w:ascii="Times New Roman" w:hAnsi="Times New Roman"/>
          <w:b w:val="false"/>
          <w:i w:val="false"/>
          <w:color w:val="000000"/>
          <w:sz w:val="22"/>
        </w:rPr>
        <w:t>Access connections are distinguished by the following four types of private access based on access connection traffic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A is a private access connection with traffic volumes equal to or greater than 100 trips in a peak hour. Traffic volume estimates are to be based on a 20-year projection or the build-out of the development,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B is a private access connection with traffic volumes between 11 and 99 trips in a peak hour. Traffic volume estimates are to be based on a 20-year projection or the build-out of the development,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C is a private access connection with traffic volumes between one and ten trips in a peak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D is a private access connection with an AADT of less than one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112.5(3)</w:t>
      </w:r>
      <w:r>
        <w:rPr>
          <w:rFonts w:ascii="Times New Roman" w:hAnsi="Times New Roman"/>
          <w:b w:val="false"/>
          <w:i w:val="false"/>
          <w:color w:val="000000"/>
          <w:sz w:val="22"/>
        </w:rPr>
        <w:t> </w:t>
      </w:r>
      <w:r>
        <w:rPr>
          <w:rFonts w:ascii="Times New Roman" w:hAnsi="Times New Roman"/>
          <w:b w:val="false"/>
          <w:i/>
          <w:color w:val="000000"/>
          <w:sz w:val="22"/>
        </w:rPr>
        <w:t xml:space="preserve">Access categories for highways. </w:t>
      </w:r>
      <w:r>
        <w:rPr>
          <w:rFonts w:ascii="Times New Roman" w:hAnsi="Times New Roman"/>
          <w:b w:val="false"/>
          <w:i w:val="false"/>
          <w:color w:val="000000"/>
          <w:sz w:val="22"/>
        </w:rPr>
        <w:t>Access categories are distinguished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interstate and freeway (I/F) category applies to highways with full access control. Access to the roadway, when allowed, shall be provided by ramps. Direct access to the main roadway and all ramps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expressway (E) category applies to nonfreeway multilane highways outside municipal boundaries where the department has acquired the associated access rights. Access that has not already been authorized shall not be permitted across existing access control lines. An access management plan is required to authorize a new public intersection. New direct access connections will not be permitted for utilities that have not been previously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rural-600 (R-600) category applies to two-lane and multilane highways outside municipal boundaries that are on the Iowa commercial industrial network as most recently approved by the commission or are where roadway traffic volume will be equal to or greater than 3,000 AADT within 20 years. Access types A, B and C may be permitted where the applicant can prove necessity and the access has a minimum spacing distance of 600 feet from other connections. Access type D must meet sight distance requirements. Private access connections should not be permitted within the functional area of any public intersection. Public intersections should be located at survey section lines when feasible. Each full-movement access connection should serve as many properties and interests as possible to reduce the need for additional direct access to the highway.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rural safety and need (R-S/N) category applies to two-lane highways outside municipal boundaries that will not exceed 3,000 AADT within 20 years. This category includes frontage roads, service roads and access ways. All private access types may be permitted where the applicant can prove necessity and meet sight distance requirements. Private access connections should not be permitted within the functional area of any public intersection. Public intersections should be located at land survey section lines when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municipal expressway (ME) category applies to nonfreeway multilane highways inside municipal boundaries where arterial performance is necessary to provide high mobility and through traffic capacity. In the absence of an access management plan, private access shall not be permitted that has not already been authorized. An access management plan is required to authorize a new public intersection and may only be allowed if the public roadway is adopted by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municipal-1000 (M-1000) category applies to important regional and intracity highways that are within a municipality. Designation of M-1000 must include consideration of system continuity and preservation of a high level of mobility and through traffic capacity. The department recommends the installation of restrictive medians between full-movement intersections. Access to an M-1000 may be granted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access types are eligible for a full-movement access connection at 1,320 feet (one-quarter mile) locations based on section lines where feasible, and these access connections may be restricted to right-in and right-out turns or directional left-in-only as access volumes increase. If there is a documented necessity to permit access connections at locations less than 1,320 feet, then a minimum access spacing interval of 1,000 feet may be used. No access connection should be allowed within the functional area of a public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full-movement location should serve as many properties and interests as possible to reduce the need for additional direct access to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access types are eligible for limited movement connections at minimum spacing intervals of 600 feet if a restrictive median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municipal-600 (M-600) category applies to highways within municipalities that have been determined to have a need to maintain a moderate level of mobility and through traffic capacity. Minimum spacing for all access types is 600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municipal-300 (M-300) category applies to highways within municipalities where a low level of mobility and through traffic capacity is acceptable. Minimum spacing for all access types is 300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municipal safety and need (M-S/N) category applies to highways within municipalities where motor vehicle mobility and through traffic capacity are low priorities. The permitting of access and the determination of access connection locations is based only on safety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112.5(4)</w:t>
      </w:r>
      <w:r>
        <w:rPr>
          <w:rFonts w:ascii="Times New Roman" w:hAnsi="Times New Roman"/>
          <w:b w:val="false"/>
          <w:i w:val="false"/>
          <w:color w:val="000000"/>
          <w:sz w:val="22"/>
        </w:rPr>
        <w:t> </w:t>
      </w:r>
      <w:r>
        <w:rPr>
          <w:rFonts w:ascii="Times New Roman" w:hAnsi="Times New Roman"/>
          <w:b w:val="false"/>
          <w:i/>
          <w:color w:val="000000"/>
          <w:sz w:val="22"/>
        </w:rPr>
        <w:t xml:space="preserve">Category revisions.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time to time, it may be necessary for the department to change an assigned access category because of changes in roadway conditions, traffic growth or highway reconstruction. Reassignment must be consistent with subrule </w:t>
      </w:r>
      <w:hyperlink r:id="rId17">
        <w:r>
          <w:rPr>
            <w:rStyle w:val="Hyperlink"/>
            <w:rFonts w:ascii="Times New Roman" w:hAnsi="Times New Roman"/>
            <w:b w:val="false"/>
            <w:i w:val="false"/>
            <w:color w:val="000000"/>
            <w:sz w:val="22"/>
          </w:rPr>
          <w:t>112.5(3)</w:t>
        </w:r>
      </w:hyperlink>
      <w:r>
        <w:rPr>
          <w:rFonts w:ascii="Times New Roman" w:hAnsi="Times New Roman"/>
          <w:b w:val="false"/>
          <w:i w:val="false"/>
          <w:color w:val="000000"/>
          <w:sz w:val="22"/>
        </w:rPr>
        <w:t>. A report will be prepared presenting why the current category should not be used and the reasons for and benefits of making the category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highway is identified as a future freeway or expressway, the department may suspend the issuance of new access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highway utilizing at-grade intersections is intended to be improved to accommodate traffic growth or safety considerations, the access category of the future improvement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112.5(5)</w:t>
      </w:r>
      <w:r>
        <w:rPr>
          <w:rFonts w:ascii="Times New Roman" w:hAnsi="Times New Roman"/>
          <w:b w:val="false"/>
          <w:i w:val="false"/>
          <w:color w:val="000000"/>
          <w:sz w:val="22"/>
        </w:rPr>
        <w:t> </w:t>
      </w:r>
      <w:r>
        <w:rPr>
          <w:rFonts w:ascii="Times New Roman" w:hAnsi="Times New Roman"/>
          <w:b w:val="false"/>
          <w:i/>
          <w:color w:val="000000"/>
          <w:sz w:val="22"/>
        </w:rPr>
        <w:t xml:space="preserve">Interchange and intersection access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necessary for an at-grade access connection to be near an interchange on an access category E or ME, the first access connection location will be determined by calculating the functional areas of the expressway ramp and the first at-grade access connection. The two functional areas shall not overlap. The functional area of the ramp shall be considered no less than 1,500 feet from the end of the taper. The first access should be a public intersection. Access turning movements may be restricted for operational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is prohibited to all elevated structures and ramps on or connected to any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exceed 10,000 in the twentieth year, the first full-movement access connection should be at least 1,320 feet as measured from the ramp bifurcation point. A minimum of 1,000 feet may be allowed for a full-movement intersection if there is a proven necessity and no reasonable alternative. A restrictive median may be required between the ramps and the full-movement intersection. If the first full-movement intersection is at least 1,200 feet from the ramp bifurcation and a restrictive median is present, a right-in and right-out access may be permitted at a minimum of 600 feet from the ramp bifurcation. The ramp functional area should not overlap with the functional area of any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be between 3,000 and 10,000 within 20 years, the first full movement should be at least 1,000 feet away from the ramp. All access types may have a restricted right-in and right-out access at a minimum of 600 feet from the ramp bifurcation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not exceed 3,000 within 20 years, access public intersections and private access types A and B should be at least 600 feet away from the ramp bifurcation point. Types C and D should be at least 300 feet from the bifurcation point and may be subject to operational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any new interchange or interchange reconstruction, access rights should be acquired and extend a minimum of 600 feet away from the ramp bifurcation point. If the AADT will exceed 10,000 within 20 years, a minimum of 1,000 feet of access rights should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a free-flow turning movement from a roadway or ramp merges onto another roadway, an analysis is to be completed to determine the functional area and the preferred placement of the first access connection. The functional area of the merge lane of the roadway and the functional area of the first access connection should not overlap. Access rights are to be acquired along the identified functional area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at-grade intersection is defined by the determination of its functional area. Access should not be allowed within this functional area. Access beyond the functional area remains subject to the requirements of the access category location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acquiring access rights as part of a highway project, the department may acquire access rights along intersecting public roadways to protect the operation of the intersection at the highway. Acquisition of access rights should extend a distance of 150 feet from the near edge of the highway traveled way. If the intersecting public roadway AADT is predicted to exceed 3,000 within 20 years, the department should acquire access rights for a distance of 300 feet from the near edge of the highway traveled way. The department may lengthen or shorten the distance of access rights required after considering the intersection functional area, traffic volumes, traffic operations, acquisition costs and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112.5(6)</w:t>
      </w:r>
      <w:r>
        <w:rPr>
          <w:rFonts w:ascii="Times New Roman" w:hAnsi="Times New Roman"/>
          <w:b w:val="false"/>
          <w:i w:val="false"/>
          <w:color w:val="000000"/>
          <w:sz w:val="22"/>
        </w:rPr>
        <w:t> </w:t>
      </w:r>
      <w:r>
        <w:rPr>
          <w:rFonts w:ascii="Times New Roman" w:hAnsi="Times New Roman"/>
          <w:b w:val="false"/>
          <w:i/>
          <w:color w:val="000000"/>
          <w:sz w:val="22"/>
        </w:rPr>
        <w:t xml:space="preserve">Access management plans and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management plans may be developed to determine how access will be managed on select sections of high-priority corridors, around freeway interchanges, and within municipalities and high-growth corridors. Each plan will apply access management techniques, identify acceptable traffic control features, and establish the necessary operational restrictions to ensure the long-term functional performance and safety of the highway. The scope of each access plan may vary depending on what is determined necessary by the parties of the agreement to manage current and predicted future highway conditions and local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an access management plan within a municipality, it must be adopted by joint agreement in accordance with Iowa Code sections </w:t>
      </w:r>
      <w:hyperlink r:id="rId18">
        <w:r>
          <w:rPr>
            <w:rStyle w:val="Hyperlink"/>
            <w:rFonts w:ascii="Times New Roman" w:hAnsi="Times New Roman"/>
            <w:b w:val="false"/>
            <w:i w:val="false"/>
            <w:color w:val="000000"/>
            <w:sz w:val="22"/>
          </w:rPr>
          <w:t>306.4(4)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306A.7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Highway projects and corridor plans may include access management techniques and improvements to bring a section of highway into conformance with its current access category without adopting an access management plan and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761—112.6</w:t>
      </w:r>
      <w:r>
        <w:rPr>
          <w:rFonts w:ascii="Times New Roman" w:hAnsi="Times New Roman"/>
          <w:b/>
          <w:i w:val="false"/>
          <w:color w:val="000000"/>
          <w:sz w:val="22"/>
        </w:rPr>
        <w:t xml:space="preserve">(306A) </w:t>
      </w:r>
      <w:r>
        <w:rPr>
          <w:rFonts w:ascii="Times New Roman" w:hAnsi="Times New Roman"/>
          <w:b/>
          <w:i w:val="false"/>
          <w:color w:val="000000"/>
          <w:sz w:val="22"/>
        </w:rPr>
        <w:t xml:space="preserve">Location and design. </w:t>
      </w:r>
      <w:r>
        <w:rPr>
          <w:rFonts w:ascii="Times New Roman" w:hAnsi="Times New Roman"/>
          <w:b w:val="false"/>
          <w:i w:val="false"/>
          <w:color w:val="000000"/>
          <w:sz w:val="22"/>
        </w:rPr>
        <w:t>This rule sets criteria for the location and design of access connections to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val="false"/>
          <w:color w:val="000000"/>
          <w:sz w:val="22"/>
        </w:rPr>
        <w:t>Each access connection authorized must be located and designed in accordance with this rule. Terms and conditions for location, design, construction and use of the access connection shall be established by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val="false"/>
          <w:color w:val="000000"/>
          <w:sz w:val="22"/>
        </w:rPr>
        <w:t>The priority of the primary highway system is to provide highway corridors with the goal of maintaining traffic capacity by limiting disruptions to through traffic. Direct access from abutting land is therefore subordinate. Where an adjacent lower traffic volume road is available, the access should connect to that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112.6(3)</w:t>
      </w:r>
      <w:r>
        <w:rPr>
          <w:rFonts w:ascii="Times New Roman" w:hAnsi="Times New Roman"/>
          <w:b w:val="false"/>
          <w:i w:val="false"/>
          <w:color w:val="000000"/>
          <w:sz w:val="22"/>
        </w:rPr>
        <w:t> </w:t>
      </w:r>
      <w:r>
        <w:rPr>
          <w:rFonts w:ascii="Times New Roman" w:hAnsi="Times New Roman"/>
          <w:b w:val="false"/>
          <w:i w:val="false"/>
          <w:color w:val="000000"/>
          <w:sz w:val="22"/>
        </w:rPr>
        <w:t>Private access connections may only be considered when there is a reasonable necessity for the access and should be separated from other private access connections at a minimum distance equal to the sight distance at the posted speed. The burden of proving necessity is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112.6(4)</w:t>
      </w:r>
      <w:r>
        <w:rPr>
          <w:rFonts w:ascii="Times New Roman" w:hAnsi="Times New Roman"/>
          <w:b w:val="false"/>
          <w:i w:val="false"/>
          <w:color w:val="000000"/>
          <w:sz w:val="22"/>
        </w:rPr>
        <w:t> </w:t>
      </w:r>
      <w:r>
        <w:rPr>
          <w:rFonts w:ascii="Times New Roman" w:hAnsi="Times New Roman"/>
          <w:b w:val="false"/>
          <w:i w:val="false"/>
          <w:color w:val="000000"/>
          <w:sz w:val="22"/>
        </w:rPr>
        <w:t>An access connection must be consistent with the requirements of the assigned access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112.6(5)</w:t>
      </w:r>
      <w:r>
        <w:rPr>
          <w:rFonts w:ascii="Times New Roman" w:hAnsi="Times New Roman"/>
          <w:b w:val="false"/>
          <w:i w:val="false"/>
          <w:color w:val="000000"/>
          <w:sz w:val="22"/>
        </w:rPr>
        <w:t> </w:t>
      </w:r>
      <w:r>
        <w:rPr>
          <w:rFonts w:ascii="Times New Roman" w:hAnsi="Times New Roman"/>
          <w:b w:val="false"/>
          <w:i w:val="false"/>
          <w:color w:val="000000"/>
          <w:sz w:val="22"/>
        </w:rPr>
        <w:t>Access location considerations must include traffic operations, public safety, sight distance, distance to other access locations, traffic speed and volumes, the design vehicle for the access, and turning movements.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112.6(6)</w:t>
      </w:r>
      <w:r>
        <w:rPr>
          <w:rFonts w:ascii="Times New Roman" w:hAnsi="Times New Roman"/>
          <w:b w:val="false"/>
          <w:i w:val="false"/>
          <w:color w:val="000000"/>
          <w:sz w:val="22"/>
        </w:rPr>
        <w:t> </w:t>
      </w:r>
      <w:r>
        <w:rPr>
          <w:rFonts w:ascii="Times New Roman" w:hAnsi="Times New Roman"/>
          <w:b w:val="false"/>
          <w:i w:val="false"/>
          <w:color w:val="000000"/>
          <w:sz w:val="22"/>
        </w:rPr>
        <w:t>Restrictive medians may be installed and access connection turning movements may be restricted to right turns or directional left turns for operational reasons when determined necessary and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112.6(7)</w:t>
      </w:r>
      <w:r>
        <w:rPr>
          <w:rFonts w:ascii="Times New Roman" w:hAnsi="Times New Roman"/>
          <w:b w:val="false"/>
          <w:i w:val="false"/>
          <w:color w:val="000000"/>
          <w:sz w:val="22"/>
        </w:rPr>
        <w:t> </w:t>
      </w:r>
      <w:r>
        <w:rPr>
          <w:rFonts w:ascii="Times New Roman" w:hAnsi="Times New Roman"/>
          <w:b w:val="false"/>
          <w:i w:val="false"/>
          <w:color w:val="000000"/>
          <w:sz w:val="22"/>
        </w:rPr>
        <w:t>Minimum design criteria may be used only when there is a proven and documented necessity that higher standards are not feasible at the specific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112.6(8)</w:t>
      </w:r>
      <w:r>
        <w:rPr>
          <w:rFonts w:ascii="Times New Roman" w:hAnsi="Times New Roman"/>
          <w:b w:val="false"/>
          <w:i w:val="false"/>
          <w:color w:val="000000"/>
          <w:sz w:val="22"/>
        </w:rPr>
        <w:t> </w:t>
      </w:r>
      <w:r>
        <w:rPr>
          <w:rFonts w:ascii="Times New Roman" w:hAnsi="Times New Roman"/>
          <w:b w:val="false"/>
          <w:i w:val="false"/>
          <w:color w:val="000000"/>
          <w:sz w:val="22"/>
        </w:rPr>
        <w:t>When there are access connections on opposite sides of the highway and left turns are allowed from both directions, the access connections should be opposite each other or have sufficient offset distance so as to prevent overlapping left turn maneuvers.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112.6(9)</w:t>
      </w:r>
      <w:r>
        <w:rPr>
          <w:rFonts w:ascii="Times New Roman" w:hAnsi="Times New Roman"/>
          <w:b w:val="false"/>
          <w:i w:val="false"/>
          <w:color w:val="000000"/>
          <w:sz w:val="22"/>
        </w:rPr>
        <w:t> </w:t>
      </w:r>
      <w:r>
        <w:rPr>
          <w:rFonts w:ascii="Times New Roman" w:hAnsi="Times New Roman"/>
          <w:b w:val="false"/>
          <w:i w:val="false"/>
          <w:color w:val="000000"/>
          <w:sz w:val="22"/>
        </w:rPr>
        <w:t>If the access connection requires a turn lane, the access connection should be located so the turn lane can be installed and no other access connections occur along the turn lane. An access should not be installed along a turn lane or taper.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112.6(10)</w:t>
      </w:r>
      <w:r>
        <w:rPr>
          <w:rFonts w:ascii="Times New Roman" w:hAnsi="Times New Roman"/>
          <w:b w:val="false"/>
          <w:i w:val="false"/>
          <w:color w:val="000000"/>
          <w:sz w:val="22"/>
        </w:rPr>
        <w:t> </w:t>
      </w:r>
      <w:r>
        <w:rPr>
          <w:rFonts w:ascii="Times New Roman" w:hAnsi="Times New Roman"/>
          <w:b w:val="false"/>
          <w:i w:val="false"/>
          <w:color w:val="000000"/>
          <w:sz w:val="22"/>
        </w:rPr>
        <w:t>Private access connections should not be located within the functional area of a public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112.6(11)</w:t>
      </w:r>
      <w:r>
        <w:rPr>
          <w:rFonts w:ascii="Times New Roman" w:hAnsi="Times New Roman"/>
          <w:b w:val="false"/>
          <w:i w:val="false"/>
          <w:color w:val="000000"/>
          <w:sz w:val="22"/>
        </w:rPr>
        <w:t> </w:t>
      </w:r>
      <w:r>
        <w:rPr>
          <w:rFonts w:ascii="Times New Roman" w:hAnsi="Times New Roman"/>
          <w:b w:val="false"/>
          <w:i w:val="false"/>
          <w:color w:val="000000"/>
          <w:sz w:val="22"/>
        </w:rPr>
        <w:t>All access connections must meet sight distance.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112.6(12)</w:t>
      </w:r>
      <w:r>
        <w:rPr>
          <w:rFonts w:ascii="Times New Roman" w:hAnsi="Times New Roman"/>
          <w:b w:val="false"/>
          <w:i w:val="false"/>
          <w:color w:val="000000"/>
          <w:sz w:val="22"/>
        </w:rPr>
        <w:t> </w:t>
      </w:r>
      <w:r>
        <w:rPr>
          <w:rFonts w:ascii="Times New Roman" w:hAnsi="Times New Roman"/>
          <w:b w:val="false"/>
          <w:i w:val="false"/>
          <w:color w:val="000000"/>
          <w:sz w:val="22"/>
        </w:rPr>
        <w:t>The access must be designed to facilitate the movement of vehicles from the highway to prevent the queuing of vehicles on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112.6(13)</w:t>
      </w:r>
      <w:r>
        <w:rPr>
          <w:rFonts w:ascii="Times New Roman" w:hAnsi="Times New Roman"/>
          <w:b w:val="false"/>
          <w:i w:val="false"/>
          <w:color w:val="000000"/>
          <w:sz w:val="22"/>
        </w:rPr>
        <w:t> </w:t>
      </w:r>
      <w:r>
        <w:rPr>
          <w:rFonts w:ascii="Times New Roman" w:hAnsi="Times New Roman"/>
          <w:b w:val="false"/>
          <w:i w:val="false"/>
          <w:color w:val="000000"/>
          <w:sz w:val="22"/>
        </w:rPr>
        <w:t>If a proposed access location does not comply with this chapter, the access permit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will use sound engineering practices to determine the appropriate location and design for the specific situation. The department will include justification for the design in the permit or the highway project file,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761—112.7</w:t>
      </w:r>
      <w:r>
        <w:rPr>
          <w:rFonts w:ascii="Times New Roman" w:hAnsi="Times New Roman"/>
          <w:b/>
          <w:i w:val="false"/>
          <w:color w:val="000000"/>
          <w:sz w:val="22"/>
        </w:rPr>
        <w:t xml:space="preserve">(306A) </w:t>
      </w:r>
      <w:r>
        <w:rPr>
          <w:rFonts w:ascii="Times New Roman" w:hAnsi="Times New Roman"/>
          <w:b/>
          <w:i w:val="false"/>
          <w:color w:val="000000"/>
          <w:sz w:val="22"/>
        </w:rPr>
        <w:t xml:space="preserve">Access construction. </w:t>
      </w:r>
      <w:r>
        <w:rPr>
          <w:rFonts w:ascii="Times New Roman" w:hAnsi="Times New Roman"/>
          <w:b w:val="false"/>
          <w:i w:val="false"/>
          <w:color w:val="000000"/>
          <w:sz w:val="22"/>
        </w:rPr>
        <w:t>This rule sets criteria for the construction of access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Overall stipulations.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part of a public construction project, the construction of the access and its appurtenances as stated in the terms and conditions of the permit shall be completed at the expense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access connection must be constructed according to the department’s standards and specifications. The applicant will be provided with the necessary standards and specifications with the issued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access shall be completed in an expeditious and safe manner and must be finished within 30 days from initiation of construction within the highway right-of-way unless otherwise stated on the access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work within the highway right-of-way, restrict lane closure periods and require preapproval of all aspects of construction phasing and traffic control. The permittee shall provide work zone traffic control at all times during access construction. Work in the highway right-of-way is not allowed on legal holidays, at night, during peak traffic hours or during adverse weather conditions without specific department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damage to the primary highway, appurtenances or any utility or any permitted private encroachment shall be repaired immediately at the direction of the affected owner. All costs associated with repair or relocation are to be borne by the permittee. If a survey monument is modified or damaged, repair and replacement shall be done at the direction of the owner of the monument.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relocation, removal or modification of any traffic control device or public or private utilities shall be accomplished by the permittee without cost to the department or utility and at the direction of the department or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access permit may require installation of traffic control features or devices, but such requirements do not create any type of private interest in such features. Traffic control features and devices in the right-of-way, such as traffic signals, channelizing islands, medians, median openings, and turn lanes, are operational and safety characteristics of the highway and are not means of private access. The department may install, remove or modify any traffic control feature or device in the right-of-way to promote traffic safety or efficient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is not obligated to permit or approve any connection, traffic control feature or device or any other site-related improvement that has been specified in a development approval process separate from the permitting criteria and approval process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any construction element of the permitted access fails within three years following construction, the permittee shall be responsible for all repairs. Failure to make such repairs may result in suspension of the permit and closure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property owner or occupants are responsible for maintaining the access. Where the access connection has a paved surface, the property owner or occupants are responsible for maintaining the access connection from the paved edge of the roadway to the right-of-way line. Where the access connection does not have a paved surface, the property owner or occupants are responsible for maintaining the access from the outer shoulder line of the roadway to the right-of-way line. The department is not responsible for the removal of debris, snow or ice on the access, including debris deposited by the department during maintenance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Drainage structures located along the highway are maintained by the department except for concrete box culverts and bridges constructed by the property owner for access to the property, which shall be maintained by the property owner or occupants.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Temporary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access is needed in temporary situations for a limited period of time, a temporary access connection may be allowed, but it is subject to special stipulations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temporary access shall comply with all safety and sight distance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access, if authorized, may be permitted up to but not exceeding 24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permittee is responsible for all costs incurred, including removal of the access and restoration of the right-of-way at the end of the permit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for temporary access is not needed if the temporary access is for department purposes and has been approved in department internal documents and, when required, by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761—112.8</w:t>
      </w:r>
      <w:r>
        <w:rPr>
          <w:rFonts w:ascii="Times New Roman" w:hAnsi="Times New Roman"/>
          <w:b/>
          <w:i w:val="false"/>
          <w:color w:val="000000"/>
          <w:sz w:val="22"/>
        </w:rPr>
        <w:t xml:space="preserve">(306A) </w:t>
      </w:r>
      <w:r>
        <w:rPr>
          <w:rFonts w:ascii="Times New Roman" w:hAnsi="Times New Roman"/>
          <w:b/>
          <w:i w:val="false"/>
          <w:color w:val="000000"/>
          <w:sz w:val="22"/>
        </w:rPr>
        <w:t xml:space="preserve">Drainage requirements for access connection approvals.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val="false"/>
          <w:color w:val="000000"/>
          <w:sz w:val="22"/>
        </w:rPr>
        <w:t>The permittee shall provide, at the permittee’s expense, drainage structures for access connections that will become an integral part of the existing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val="false"/>
          <w:color w:val="000000"/>
          <w:sz w:val="22"/>
        </w:rPr>
        <w:t>The type, size and condition of the drainage structures provided by the permittee must meet the requirements of the department in unincorporated areas and the requirements of both the department and the municipality in incorporated areas. The design and construction of drainage structures for access shall not adversely impact the highway right-of-way, a storm sewer system or a drainage-way.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val="false"/>
          <w:color w:val="000000"/>
          <w:sz w:val="22"/>
        </w:rPr>
        <w:t>The construction of an access shall not impair the drainage or stability of the highway subgrade, nor shall it cause water to flow across the roadway pavement or pond on the shoulders or in the ditch or result in erosion within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val="false"/>
          <w:color w:val="000000"/>
          <w:sz w:val="22"/>
        </w:rPr>
        <w:t>Drainage systems designed and constructed by the department within the highway right-of-way are designed to serve the drainage needs of the highway and adjoining properties based on the basin conditions at the time of the design of the highway.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761—112.9</w:t>
      </w:r>
      <w:r>
        <w:rPr>
          <w:rFonts w:ascii="Times New Roman" w:hAnsi="Times New Roman"/>
          <w:b/>
          <w:i w:val="false"/>
          <w:color w:val="000000"/>
          <w:sz w:val="22"/>
        </w:rPr>
        <w:t xml:space="preserve">(306A,318) </w:t>
      </w:r>
      <w:r>
        <w:rPr>
          <w:rFonts w:ascii="Times New Roman" w:hAnsi="Times New Roman"/>
          <w:b/>
          <w:i w:val="false"/>
          <w:color w:val="000000"/>
          <w:sz w:val="22"/>
        </w:rPr>
        <w:t xml:space="preserve">Violations at access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property owner and permittee to ensure that the access is not in violation of this chapter or the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authorized access is constructed or used in violation of this chapter or the terms and conditions of the permit, the department may suspend the access permit and may order the immediate closure of the access. Notwithstanding the preceding sentence or any other provision of this chapter, the department may proceed as authorized under Iowa Code chapter </w:t>
      </w:r>
      <w:hyperlink r:id="rId20">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 xml:space="preserve">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2">
        <w:r>
          <w:rPr>
            <w:rStyle w:val="Hyperlink"/>
            <w:rFonts w:ascii="Times New Roman" w:hAnsi="Times New Roman"/>
            <w:b w:val="false"/>
            <w:i w:val="false"/>
            <w:color w:val="000000"/>
            <w:sz w:val="22"/>
          </w:rPr>
          <w:t>306.19</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306A.1 through 306A.8</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u w:val="single"/>
        </w:rPr>
        <w:t> </w:t>
      </w:r>
      <w:hyperlink r:id="rId25">
        <w:r>
          <w:rPr>
            <w:rStyle w:val="Hyperlink"/>
            <w:rFonts w:ascii="Times New Roman" w:hAnsi="Times New Roman"/>
            <w:b w:val="false"/>
            <w:i w:val="false"/>
            <w:color w:val="000000"/>
            <w:sz w:val="22"/>
          </w:rPr>
          <w:t>318.3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318.8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May 18, 1966; amended April 14, 1971]</w:t>
      </w:r>
    </w:p>
    <w:p>
      <w:pPr>
        <w:spacing w:before="0" w:after="0"/>
        <w:ind w:left="120"/>
        <w:jc w:val="center"/>
      </w:pPr>
      <w:r>
        <w:rPr>
          <w:rFonts w:ascii="Times New Roman" w:hAnsi="Times New Roman"/>
          <w:b w:val="false"/>
          <w:i w:val="false"/>
          <w:color w:val="000000"/>
          <w:sz w:val="21"/>
        </w:rPr>
        <w:t>[Filed 1/17/77, Notice 12/1/76—published 2/9/77, effective 3/16/77]</w:t>
      </w:r>
    </w:p>
    <w:p>
      <w:pPr>
        <w:spacing w:before="0" w:after="0"/>
        <w:ind w:left="120"/>
        <w:jc w:val="center"/>
      </w:pPr>
      <w:r>
        <w:rPr>
          <w:rFonts w:ascii="Times New Roman" w:hAnsi="Times New Roman"/>
          <w:b w:val="false"/>
          <w:i w:val="false"/>
          <w:color w:val="000000"/>
          <w:sz w:val="21"/>
        </w:rPr>
        <w:t>[Filed 12/20/79, Notice 10/31/79—published 1/9/80, effective 2/13/80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8/8/90, Notice 6/13/90—published 9/5/90, effective 10/10/90]</w:t>
      </w:r>
    </w:p>
    <w:p>
      <w:pPr>
        <w:spacing w:before="0" w:after="0"/>
        <w:ind w:left="120"/>
        <w:jc w:val="center"/>
      </w:pPr>
      <w:r>
        <w:rPr>
          <w:rFonts w:ascii="Times New Roman" w:hAnsi="Times New Roman"/>
          <w:b w:val="false"/>
          <w:i w:val="false"/>
          <w:color w:val="000000"/>
          <w:sz w:val="21"/>
        </w:rPr>
        <w:t>[Filed 5/17/95, Notice 4/12/95—published 6/7/95, effective 7/12/95]</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9873B</w:t>
      </w:r>
      <w:r>
        <w:rPr>
          <w:rFonts w:ascii="Times New Roman" w:hAnsi="Times New Roman"/>
          <w:b w:val="false"/>
          <w:i w:val="false"/>
          <w:color w:val="000000"/>
          <w:sz w:val="21"/>
        </w:rPr>
        <w:t xml:space="preserve"> (Notice ARC 9781B,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5301C</w:t>
      </w:r>
      <w:r>
        <w:rPr>
          <w:rFonts w:ascii="Times New Roman" w:hAnsi="Times New Roman"/>
          <w:b w:val="false"/>
          <w:i w:val="false"/>
          <w:color w:val="000000"/>
          <w:sz w:val="21"/>
        </w:rPr>
        <w:t xml:space="preserve"> (Notice ARC 5180C,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6562C</w:t>
      </w:r>
      <w:r>
        <w:rPr>
          <w:rFonts w:ascii="Times New Roman" w:hAnsi="Times New Roman"/>
          <w:b w:val="false"/>
          <w:i w:val="false"/>
          <w:color w:val="000000"/>
          <w:sz w:val="21"/>
        </w:rPr>
        <w:t xml:space="preserve"> (Notice ARC 6434C,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8782C</w:t>
      </w:r>
      <w:r>
        <w:rPr>
          <w:rFonts w:ascii="Times New Roman" w:hAnsi="Times New Roman"/>
          <w:b w:val="false"/>
          <w:i w:val="false"/>
          <w:color w:val="000000"/>
          <w:sz w:val="21"/>
        </w:rPr>
        <w:t xml:space="preserve"> (Notice ARC 8251C, IAB 10/16/24)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Effective date of [06,C] Ch 1 delayed by the Administrative Rules Review Committee 70 days. Delay lifted by this Committee on March 13, 1980.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traffic/Access-Management/Access-Management-Resources"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321.pdf" Type="http://schemas.openxmlformats.org/officeDocument/2006/relationships/hyperlink" Id="rId7"/>
    <Relationship TargetMode="External" Target="http://eps.iowadot.gov" Type="http://schemas.openxmlformats.org/officeDocument/2006/relationships/hyperlink" Id="rId8"/>
    <Relationship TargetMode="External" Target="https://www.legis.iowa.gov/docs/iac/rule/761.112.5.pdf" Type="http://schemas.openxmlformats.org/officeDocument/2006/relationships/hyperlink" Id="rId9"/>
    <Relationship TargetMode="External" Target="https://www.legis.iowa.gov/docs/iac/rule/761.112.5.pdf" Type="http://schemas.openxmlformats.org/officeDocument/2006/relationships/hyperlink" Id="rId10"/>
    <Relationship TargetMode="External" Target="https://www.legis.iowa.gov/docs/iac/rule/761.112.6.pdf" Type="http://schemas.openxmlformats.org/officeDocument/2006/relationships/hyperlink" Id="rId11"/>
    <Relationship TargetMode="External" Target="https://www.legis.iowa.gov/docs/iac/chapter/761.11.pdf" Type="http://schemas.openxmlformats.org/officeDocument/2006/relationships/hyperlink" Id="rId12"/>
    <Relationship TargetMode="External" Target="https://www.legis.iowa.gov/docs/iac/rule/761.11.5.pdf" Type="http://schemas.openxmlformats.org/officeDocument/2006/relationships/hyperlink" Id="rId13"/>
    <Relationship TargetMode="External" Target="http://iowadot.gov/administrativerules" Type="http://schemas.openxmlformats.org/officeDocument/2006/relationships/hyperlink" Id="rId14"/>
    <Relationship TargetMode="External" Target="https://www.legis.iowa.gov/docs/iac/rule/761.112.5.pdf" Type="http://schemas.openxmlformats.org/officeDocument/2006/relationships/hyperlink" Id="rId15"/>
    <Relationship TargetMode="External" Target="https://www.legis.iowa.gov/docs/ico/chapter/306.pdf" Type="http://schemas.openxmlformats.org/officeDocument/2006/relationships/hyperlink" Id="rId16"/>
    <Relationship TargetMode="External" Target="https://www.legis.iowa.gov/docs/iac/rule/761.112.5.pdf" Type="http://schemas.openxmlformats.org/officeDocument/2006/relationships/hyperlink" Id="rId17"/>
    <Relationship TargetMode="External" Target="https://www.legis.iowa.gov/docs/ico/chapter/306.pdf" Type="http://schemas.openxmlformats.org/officeDocument/2006/relationships/hyperlink" Id="rId18"/>
    <Relationship TargetMode="External" Target="https://www.legis.iowa.gov/docs/ico/chapter/306A.pdf" Type="http://schemas.openxmlformats.org/officeDocument/2006/relationships/hyperlink" Id="rId19"/>
    <Relationship TargetMode="External" Target="https://www.legis.iowa.gov/docs/ico/chapter/318.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306.pdf" Type="http://schemas.openxmlformats.org/officeDocument/2006/relationships/hyperlink" Id="rId22"/>
    <Relationship TargetMode="External" Target="https://www.legis.iowa.gov/docs/ico/chapter/306A.pdf" Type="http://schemas.openxmlformats.org/officeDocument/2006/relationships/hyperlink" Id="rId23"/>
    <Relationship TargetMode="External" Target="https://www.legis.iowa.gov/docs/ico/chapter/307.pdf" Type="http://schemas.openxmlformats.org/officeDocument/2006/relationships/hyperlink" Id="rId24"/>
    <Relationship TargetMode="External" Target="https://www.legis.iowa.gov/docs/ico/chapter/318.pdf" Type="http://schemas.openxmlformats.org/officeDocument/2006/relationships/hyperlink" Id="rId25"/>
    <Relationship TargetMode="External" Target="https://www.legis.iowa.gov/docs/ico/chapter/318.pdf" Type="http://schemas.openxmlformats.org/officeDocument/2006/relationships/hyperlink" Id="rId26"/>
    <Relationship TargetMode="External" Target="https://www.legis.iowa.gov/docs/ico/chapter/318.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