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111</w:t>
      </w:r>
    </w:p>
    <w:p>
      <w:pPr>
        <w:spacing w:before="0" w:after="0"/>
        <w:ind w:left="120"/>
        <w:jc w:val="center"/>
      </w:pPr>
      <w:r>
        <w:rPr>
          <w:rFonts w:ascii="Times New Roman" w:hAnsi="Times New Roman"/>
          <w:b w:val="false"/>
          <w:i w:val="false"/>
          <w:color w:val="000000"/>
          <w:sz w:val="21"/>
        </w:rPr>
        <w:t>REAL PROPERTY ACQUISITION AND RELOCATION ASSISTANCE</w:t>
      </w:r>
    </w:p>
    <w:p>
      <w:pPr>
        <w:spacing w:before="0" w:after="0"/>
        <w:ind w:left="120"/>
        <w:jc w:val="center"/>
      </w:pPr>
      <w:r>
        <w:rPr>
          <w:rFonts w:ascii="Times New Roman" w:hAnsi="Times New Roman"/>
          <w:b w:val="false"/>
          <w:i w:val="false"/>
          <w:color w:val="000000"/>
          <w:sz w:val="14"/>
        </w:rPr>
        <w:t>[Prior to 6/3/87, see Transportation Department[820]—(06,F) Ch 8]</w:t>
      </w:r>
    </w:p>
    <w:p>
      <w:pPr>
        <w:spacing w:before="0" w:after="0"/>
        <w:ind w:left="120"/>
        <w:jc w:val="both"/>
      </w:pPr>
      <w:r>
        <w:rPr>
          <w:rFonts w:ascii="Times New Roman" w:hAnsi="Times New Roman"/>
          <w:b/>
          <w:i w:val="false"/>
          <w:color w:val="000000"/>
          <w:sz w:val="22"/>
        </w:rPr>
        <w:t>761—111.1</w:t>
      </w:r>
      <w:r>
        <w:rPr>
          <w:rFonts w:ascii="Times New Roman" w:hAnsi="Times New Roman"/>
          <w:b/>
          <w:i w:val="false"/>
          <w:color w:val="000000"/>
          <w:sz w:val="22"/>
        </w:rPr>
        <w:t xml:space="preserve">(316) </w:t>
      </w:r>
      <w:r>
        <w:rPr>
          <w:rFonts w:ascii="Times New Roman" w:hAnsi="Times New Roman"/>
          <w:b/>
          <w:i w:val="false"/>
          <w:color w:val="000000"/>
          <w:sz w:val="22"/>
        </w:rPr>
        <w:t xml:space="preserve">Acquisition and relocation assistance manual. </w:t>
      </w:r>
      <w:r>
        <w:rPr>
          <w:rFonts w:ascii="Times New Roman" w:hAnsi="Times New Roman"/>
          <w:b w:val="false"/>
          <w:i w:val="false"/>
          <w:color w:val="000000"/>
          <w:sz w:val="22"/>
        </w:rPr>
        <w:t>The September 2017 edition of Section II of the manual entitled “Uniform Manual, Real Property Acquisition and Relocation Assistance”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Section II establishes uniform rules and procedures that comply with Iowa law and the Federal Uniform Relocation Act for the acquisition of real property and for the provision of relocation assistance to persons who are displaced from real property as a result of programs and projects. Relocation assistance is not compensation for real property acquired nor is it compensation for damages to remaining property. Rather, relocation assistance is assistance and compensation provided to a displaced person for making the move and relocating.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general, Section II applies to any program or project that involves the acquisition of real property or that causes a person to be a displaced person if the program or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undertaken with federal financial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road or street program or project undertaken with state financial assistance from the primary road fund, including primary road funds allocated for state park and institutional roads,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a public road or highway eligible for federal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general, Section II applies to any of the following entities that acquire real property or displace a person for a program or project described in paragraph </w:t>
      </w:r>
      <w:hyperlink r:id="rId4">
        <w:r>
          <w:rPr>
            <w:rStyle w:val="Hyperlink"/>
            <w:rFonts w:ascii="Times New Roman" w:hAnsi="Times New Roman"/>
            <w:b w:val="false"/>
            <w:i w:val="false"/>
            <w:color w:val="000000"/>
            <w:sz w:val="22"/>
          </w:rPr>
          <w:t>111.1(2)</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political subdivision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department, agency or instrumentality of one or more states or political subdivisions.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or railroad subject to Iowa Code section </w:t>
      </w:r>
      <w:hyperlink r:id="rId5">
        <w:r>
          <w:rPr>
            <w:rStyle w:val="Hyperlink"/>
            <w:rFonts w:ascii="Times New Roman" w:hAnsi="Times New Roman"/>
            <w:b w:val="false"/>
            <w:i w:val="false"/>
            <w:color w:val="000000"/>
            <w:sz w:val="22"/>
          </w:rPr>
          <w:t>327C.2</w:t>
        </w:r>
      </w:hyperlink>
      <w:r>
        <w:rPr>
          <w:rFonts w:ascii="Times New Roman" w:hAnsi="Times New Roman"/>
          <w:b w:val="false"/>
          <w:i w:val="false"/>
          <w:color w:val="000000"/>
          <w:sz w:val="22"/>
        </w:rPr>
        <w:t xml:space="preserve"> or chapter </w:t>
      </w:r>
      <w:hyperlink r:id="rId6">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479A</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authorized by law to acquire property by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person who has the authority to acquire property by eminent domain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person who acquires real property or displaces a person for a program or project described in paragraph </w:t>
      </w:r>
      <w:hyperlink r:id="rId11">
        <w:r>
          <w:rPr>
            <w:rStyle w:val="Hyperlink"/>
            <w:rFonts w:ascii="Times New Roman" w:hAnsi="Times New Roman"/>
            <w:b w:val="false"/>
            <w:i w:val="false"/>
            <w:color w:val="000000"/>
            <w:sz w:val="22"/>
          </w:rPr>
          <w:t>111.1(2)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exceptions to paragraphs </w:t>
      </w:r>
      <w:hyperlink r:id="rId12">
        <w:r>
          <w:rPr>
            <w:rStyle w:val="Hyperlink"/>
            <w:rFonts w:ascii="Times New Roman" w:hAnsi="Times New Roman"/>
            <w:b w:val="false"/>
            <w:i w:val="false"/>
            <w:color w:val="000000"/>
            <w:sz w:val="22"/>
          </w:rPr>
          <w:t>111.1(2)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are set out in Section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3">
        <w:r>
          <w:rPr>
            <w:rStyle w:val="Hyperlink"/>
            <w:rFonts w:ascii="Times New Roman" w:hAnsi="Times New Roman"/>
            <w:b w:val="false"/>
            <w:i w:val="false"/>
            <w:color w:val="000000"/>
            <w:sz w:val="22"/>
          </w:rPr>
          <w:t>316.9(3)</w:t>
        </w:r>
      </w:hyperlink>
      <w:r>
        <w:rPr>
          <w:rFonts w:ascii="Times New Roman" w:hAnsi="Times New Roman"/>
          <w:b w:val="false"/>
          <w:i w:val="false"/>
          <w:color w:val="000000"/>
          <w:sz w:val="22"/>
        </w:rPr>
        <w:t>, an entity that provides relocation assistance benefits for any program or project is to provide an appeal process, regardless of the source of funding for the program or project. The appeal process provided is not to diminish the rights of the appellant or the scope of the appeal as described in Section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manual. </w:t>
      </w:r>
      <w:r>
        <w:rPr>
          <w:rFonts w:ascii="Times New Roman" w:hAnsi="Times New Roman"/>
          <w:b w:val="false"/>
          <w:i w:val="false"/>
          <w:color w:val="000000"/>
          <w:sz w:val="22"/>
        </w:rPr>
        <w:t xml:space="preserve">Copies of the manual are available from the Right of Way Bureau, Iowa Department of Transportation, 800 Lincoln Way, Ames, Iowa 50010; or on the department’s website at </w:t>
      </w:r>
      <w:hyperlink r:id="rId14">
        <w:r>
          <w:rPr>
            <w:rStyle w:val="Hyperlink"/>
            <w:rFonts w:ascii="Times New Roman" w:hAnsi="Times New Roman"/>
            <w:b w:val="false"/>
            <w:i w:val="false"/>
            <w:color w:val="000000"/>
            <w:sz w:val="22"/>
            <w:u w:val="single"/>
          </w:rPr>
          <w:t>www.iowadot.gov/rightofway/brochures-and-manuals</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111.1(4)</w:t>
      </w:r>
      <w:r>
        <w:rPr>
          <w:rFonts w:ascii="Times New Roman" w:hAnsi="Times New Roman"/>
          <w:b w:val="false"/>
          <w:i w:val="false"/>
          <w:color w:val="000000"/>
          <w:sz w:val="22"/>
        </w:rPr>
        <w:t> </w:t>
      </w:r>
      <w:r>
        <w:rPr>
          <w:rFonts w:ascii="Times New Roman" w:hAnsi="Times New Roman"/>
          <w:b w:val="false"/>
          <w:i/>
          <w:color w:val="000000"/>
          <w:sz w:val="22"/>
        </w:rPr>
        <w:t xml:space="preserve">Future programs or projects. </w:t>
      </w:r>
      <w:r>
        <w:rPr>
          <w:rFonts w:ascii="Times New Roman" w:hAnsi="Times New Roman"/>
          <w:b w:val="false"/>
          <w:i w:val="false"/>
          <w:color w:val="000000"/>
          <w:sz w:val="22"/>
        </w:rPr>
        <w:t>Failure to comply with Section II when acquiring real property or displacing persons for a program or project may preclude the receipt of future federal financial assistance for the program or project area.</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
        <w:r>
          <w:rPr>
            <w:rStyle w:val="Hyperlink"/>
            <w:rFonts w:ascii="Times New Roman" w:hAnsi="Times New Roman"/>
            <w:b w:val="false"/>
            <w:i w:val="false"/>
            <w:color w:val="000000"/>
            <w:sz w:val="22"/>
          </w:rPr>
          <w:t>316</w:t>
        </w:r>
      </w:hyperlink>
      <w:r>
        <w:rPr>
          <w:rFonts w:ascii="Times New Roman" w:hAnsi="Times New Roman"/>
          <w:b w:val="false"/>
          <w:i w:val="false"/>
          <w:color w:val="000000"/>
          <w:sz w:val="22"/>
        </w:rPr>
        <w:t xml:space="preserve"> and sections </w:t>
      </w:r>
      <w:hyperlink r:id="rId16">
        <w:r>
          <w:rPr>
            <w:rStyle w:val="Hyperlink"/>
            <w:rFonts w:ascii="Times New Roman" w:hAnsi="Times New Roman"/>
            <w:b w:val="false"/>
            <w:i w:val="false"/>
            <w:color w:val="000000"/>
            <w:sz w:val="22"/>
          </w:rPr>
          <w:t>6B.42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6B.45</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6B.54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6B.55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310.22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[Appeared as Ch 8, Highway Commission, July 1974 IDR Supplement]</w:t>
      </w:r>
    </w:p>
    <w:p>
      <w:pPr>
        <w:spacing w:before="0" w:after="0"/>
        <w:ind w:left="120"/>
        <w:jc w:val="center"/>
      </w:pPr>
      <w:r>
        <w:rPr>
          <w:rFonts w:ascii="Times New Roman" w:hAnsi="Times New Roman"/>
          <w:b w:val="false"/>
          <w:i w:val="false"/>
          <w:color w:val="000000"/>
          <w:sz w:val="21"/>
        </w:rPr>
        <w:t>[Filed 6/17/74]</w:t>
      </w:r>
    </w:p>
    <w:p>
      <w:pPr>
        <w:spacing w:before="0" w:after="0"/>
        <w:ind w:left="120"/>
        <w:jc w:val="center"/>
      </w:pPr>
      <w:r>
        <w:rPr>
          <w:rFonts w:ascii="Times New Roman" w:hAnsi="Times New Roman"/>
          <w:b w:val="false"/>
          <w:i w:val="false"/>
          <w:color w:val="000000"/>
          <w:sz w:val="21"/>
        </w:rPr>
        <w:t>[Filed 7/8/77, Notice 5/4/77—published 7/27/77, effective 8/31/77]</w:t>
      </w:r>
    </w:p>
    <w:p>
      <w:pPr>
        <w:spacing w:before="0" w:after="0"/>
        <w:ind w:left="120"/>
        <w:jc w:val="center"/>
      </w:pPr>
      <w:r>
        <w:rPr>
          <w:rFonts w:ascii="Times New Roman" w:hAnsi="Times New Roman"/>
          <w:b w:val="false"/>
          <w:i w:val="false"/>
          <w:color w:val="000000"/>
          <w:sz w:val="21"/>
        </w:rPr>
        <w:t>[Filed without Notice 9/2/77—published 9/21/77, effective 10/26/77]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4/4/90, Notice 2/7/90—published 5/2/90, effective 6/6/90]</w:t>
      </w:r>
    </w:p>
    <w:p>
      <w:pPr>
        <w:spacing w:before="0" w:after="0"/>
        <w:ind w:left="120"/>
        <w:jc w:val="center"/>
      </w:pPr>
      <w:r>
        <w:rPr>
          <w:rFonts w:ascii="Times New Roman" w:hAnsi="Times New Roman"/>
          <w:b w:val="false"/>
          <w:i w:val="false"/>
          <w:color w:val="000000"/>
          <w:sz w:val="21"/>
        </w:rPr>
        <w:t>[Filed 8/26/97, Notice 7/16/97—published 9/24/97, effective 10/29/97]</w:t>
      </w:r>
    </w:p>
    <w:p>
      <w:pPr>
        <w:spacing w:before="0" w:after="0"/>
        <w:ind w:left="120"/>
        <w:jc w:val="center"/>
      </w:pPr>
      <w:r>
        <w:rPr>
          <w:rFonts w:ascii="Times New Roman" w:hAnsi="Times New Roman"/>
          <w:b w:val="false"/>
          <w:i w:val="false"/>
          <w:color w:val="000000"/>
          <w:sz w:val="21"/>
        </w:rPr>
        <w:t>[Filed 8/7/02, Notice 6/26/02—published 9/4/02, effective 10/9/02]</w:t>
      </w:r>
    </w:p>
    <w:p>
      <w:pPr>
        <w:spacing w:before="0" w:after="0"/>
        <w:ind w:left="120"/>
        <w:jc w:val="center"/>
      </w:pPr>
      <w:r>
        <w:rPr>
          <w:rFonts w:ascii="Times New Roman" w:hAnsi="Times New Roman"/>
          <w:b w:val="false"/>
          <w:i w:val="false"/>
          <w:color w:val="000000"/>
          <w:sz w:val="21"/>
        </w:rPr>
        <w:t>[Filed 2/14/06, Notice 1/4/06—published 3/15/06, effective 4/19/06]</w:t>
      </w:r>
    </w:p>
    <w:p>
      <w:pPr>
        <w:spacing w:before="0" w:after="0"/>
        <w:ind w:left="120"/>
        <w:jc w:val="center"/>
      </w:pPr>
      <w:r>
        <w:rPr>
          <w:rFonts w:ascii="Times New Roman" w:hAnsi="Times New Roman"/>
          <w:b w:val="false"/>
          <w:i w:val="false"/>
          <w:color w:val="000000"/>
          <w:sz w:val="21"/>
        </w:rPr>
        <w:t>[Filed ARC 3245C</w:t>
      </w:r>
      <w:r>
        <w:rPr>
          <w:rFonts w:ascii="Times New Roman" w:hAnsi="Times New Roman"/>
          <w:b w:val="false"/>
          <w:i w:val="false"/>
          <w:color w:val="000000"/>
          <w:sz w:val="21"/>
        </w:rPr>
        <w:t xml:space="preserve"> (Notice ARC 3035C, IAB 4/26/17)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[Editorial change: IAC Supplement 8/11/21]</w:t>
      </w:r>
    </w:p>
    <w:p>
      <w:pPr>
        <w:spacing w:before="0" w:after="0"/>
        <w:ind w:left="120"/>
        <w:jc w:val="center"/>
      </w:pPr>
      <w:r>
        <w:rPr>
          <w:rFonts w:ascii="Times New Roman" w:hAnsi="Times New Roman"/>
          <w:b w:val="false"/>
          <w:i w:val="false"/>
          <w:color w:val="000000"/>
          <w:sz w:val="21"/>
        </w:rPr>
        <w:t>[Filed ARC 8781C</w:t>
      </w:r>
      <w:r>
        <w:rPr>
          <w:rFonts w:ascii="Times New Roman" w:hAnsi="Times New Roman"/>
          <w:b w:val="false"/>
          <w:i w:val="false"/>
          <w:color w:val="000000"/>
          <w:sz w:val="21"/>
        </w:rPr>
        <w:t xml:space="preserve"> (Notice ARC 8250C, IAB 10/16/24)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111.1.pdf" Type="http://schemas.openxmlformats.org/officeDocument/2006/relationships/hyperlink" Id="rId4"/>
    <Relationship TargetMode="External" Target="https://www.legis.iowa.gov/docs/ico/chapter/327C.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78.pdf" Type="http://schemas.openxmlformats.org/officeDocument/2006/relationships/hyperlink" Id="rId7"/>
    <Relationship TargetMode="External" Target="https://www.legis.iowa.gov/docs/ico/chapter/479.pdf" Type="http://schemas.openxmlformats.org/officeDocument/2006/relationships/hyperlink" Id="rId8"/>
    <Relationship TargetMode="External" Target="https://www.legis.iowa.gov/docs/ico/chapter/479A.pdf" Type="http://schemas.openxmlformats.org/officeDocument/2006/relationships/hyperlink" Id="rId9"/>
    <Relationship TargetMode="External" Target="https://www.legis.iowa.gov/docs/ico/chapter/479B.pdf" Type="http://schemas.openxmlformats.org/officeDocument/2006/relationships/hyperlink" Id="rId10"/>
    <Relationship TargetMode="External" Target="https://www.legis.iowa.gov/docs/iac/rule/761.111.1.pdf" Type="http://schemas.openxmlformats.org/officeDocument/2006/relationships/hyperlink" Id="rId11"/>
    <Relationship TargetMode="External" Target="https://www.legis.iowa.gov/docs/iac/rule/761.111.1.pdf" Type="http://schemas.openxmlformats.org/officeDocument/2006/relationships/hyperlink" Id="rId12"/>
    <Relationship TargetMode="External" Target="https://www.legis.iowa.gov/docs/ico/chapter/316.pdf" Type="http://schemas.openxmlformats.org/officeDocument/2006/relationships/hyperlink" Id="rId13"/>
    <Relationship TargetMode="External" Target="http://www.iowadot.gov/rightofway/brochures-and-manuals" Type="http://schemas.openxmlformats.org/officeDocument/2006/relationships/hyperlink" Id="rId14"/>
    <Relationship TargetMode="External" Target="https://www.legis.iowa.gov/docs/ico/chapter/316.pdf" Type="http://schemas.openxmlformats.org/officeDocument/2006/relationships/hyperlink" Id="rId15"/>
    <Relationship TargetMode="External" Target="https://www.legis.iowa.gov/docs/ico/chapter/6B.pdf" Type="http://schemas.openxmlformats.org/officeDocument/2006/relationships/hyperlink" Id="rId16"/>
    <Relationship TargetMode="External" Target="https://www.legis.iowa.gov/docs/ico/chapter/6B.pdf" Type="http://schemas.openxmlformats.org/officeDocument/2006/relationships/hyperlink" Id="rId17"/>
    <Relationship TargetMode="External" Target="https://www.legis.iowa.gov/docs/ico/chapter/6B.pdf" Type="http://schemas.openxmlformats.org/officeDocument/2006/relationships/hyperlink" Id="rId18"/>
    <Relationship TargetMode="External" Target="https://www.legis.iowa.gov/docs/ico/chapter/6B.pdf" Type="http://schemas.openxmlformats.org/officeDocument/2006/relationships/hyperlink" Id="rId19"/>
    <Relationship TargetMode="External" Target="https://www.legis.iowa.gov/docs/ico/chapter/310.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