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VICTIM ASSISTANCE PROGRAM</w:t>
      </w:r>
    </w:p>
    <w:p>
      <w:pPr>
        <w:spacing w:before="0" w:after="0"/>
        <w:ind w:left="120"/>
        <w:jc w:val="center"/>
      </w:pPr>
      <w:r>
        <w:rPr>
          <w:rFonts w:ascii="Times New Roman" w:hAnsi="Times New Roman"/>
          <w:b w:val="false"/>
          <w:i w:val="false"/>
          <w:color w:val="000000"/>
          <w:sz w:val="14"/>
        </w:rPr>
        <w:t>[Prior to 9/20/89, see Public Safety[661] Ch 17]</w:t>
      </w:r>
      <w:r>
        <w:br/>
      </w:r>
    </w:p>
    <w:p>
      <w:pPr>
        <w:spacing w:before="0" w:after="0"/>
        <w:ind w:left="120"/>
        <w:jc w:val="both"/>
      </w:pPr>
      <w:r>
        <w:rPr>
          <w:rFonts w:ascii="Times New Roman" w:hAnsi="Times New Roman"/>
          <w:b/>
          <w:i w:val="false"/>
          <w:color w:val="000000"/>
          <w:sz w:val="22"/>
        </w:rPr>
        <w:t>61—9.1</w:t>
      </w:r>
      <w:r>
        <w:rPr>
          <w:rFonts w:ascii="Times New Roman" w:hAnsi="Times New Roman"/>
          <w:b/>
          <w:i w:val="false"/>
          <w:color w:val="000000"/>
          <w:sz w:val="22"/>
        </w:rPr>
        <w:t xml:space="preserve">(915) </w:t>
      </w:r>
      <w:r>
        <w:rPr>
          <w:rFonts w:ascii="Times New Roman" w:hAnsi="Times New Roman"/>
          <w:b/>
          <w:i w:val="false"/>
          <w:color w:val="000000"/>
          <w:sz w:val="22"/>
        </w:rPr>
        <w:t xml:space="preserve">Definitions. </w:t>
      </w:r>
      <w:r>
        <w:rPr>
          <w:rFonts w:ascii="Times New Roman" w:hAnsi="Times New Roman"/>
          <w:b w:val="false"/>
          <w:i w:val="false"/>
          <w:color w:val="000000"/>
          <w:sz w:val="22"/>
        </w:rPr>
        <w:t>These definitions apply to the entire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victim assistance board of the Iowa department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w:t>
      </w:r>
      <w:r>
        <w:rPr>
          <w:rFonts w:ascii="Times New Roman" w:hAnsi="Times New Roman"/>
          <w:b w:val="false"/>
          <w:i w:val="false"/>
          <w:color w:val="000000"/>
          <w:sz w:val="22"/>
        </w:rPr>
        <w:t>means the section chief of the victim assistance section established in the Iowa department of justice or a designee of the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w:t>
      </w:r>
      <w:r>
        <w:rPr>
          <w:rFonts w:ascii="Times New Roman" w:hAnsi="Times New Roman"/>
          <w:b w:val="false"/>
          <w:i w:val="false"/>
          <w:color w:val="000000"/>
          <w:sz w:val="22"/>
        </w:rPr>
        <w:t>means the victim assistance section of the Iowa department of justice.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61—9.2</w:t>
      </w:r>
      <w:r>
        <w:rPr>
          <w:rFonts w:ascii="Times New Roman" w:hAnsi="Times New Roman"/>
          <w:b/>
          <w:i w:val="false"/>
          <w:color w:val="000000"/>
          <w:sz w:val="22"/>
        </w:rPr>
        <w:t xml:space="preserve">(915) </w:t>
      </w:r>
      <w:r>
        <w:rPr>
          <w:rFonts w:ascii="Times New Roman" w:hAnsi="Times New Roman"/>
          <w:b/>
          <w:i w:val="false"/>
          <w:color w:val="000000"/>
          <w:sz w:val="22"/>
        </w:rPr>
        <w:t xml:space="preserve">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 xml:space="preserve">A victim assistance board is established pursuant to Iowa Code section </w:t>
      </w:r>
      <w:hyperlink r:id="rId4">
        <w:r>
          <w:rPr>
            <w:rStyle w:val="Hyperlink"/>
            <w:rFonts w:ascii="Times New Roman" w:hAnsi="Times New Roman"/>
            <w:b w:val="false"/>
            <w:i w:val="false"/>
            <w:color w:val="000000"/>
            <w:sz w:val="22"/>
          </w:rPr>
          <w:t>915.82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Members of the board shall serve terms for three years and are eligible for reappointment to the board by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The initial term of the board members shall commence on July 1 of the state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w:t>
      </w:r>
      <w:r>
        <w:rPr>
          <w:rFonts w:ascii="Times New Roman" w:hAnsi="Times New Roman"/>
          <w:b/>
          <w:i w:val="false"/>
          <w:color w:val="000000"/>
          <w:sz w:val="22"/>
        </w:rPr>
        <w:t xml:space="preserve">(915) </w:t>
      </w:r>
      <w:r>
        <w:rPr>
          <w:rFonts w:ascii="Times New Roman" w:hAnsi="Times New Roman"/>
          <w:b/>
          <w:i w:val="false"/>
          <w:color w:val="000000"/>
          <w:sz w:val="22"/>
        </w:rPr>
        <w:t xml:space="preserve">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Board members shall be reimbursed from the crime victim compensation fund for expenses actually and necessarily incurred in the discharge of their duties including attendance at board meetings, board committee meetings, and other activities on behalf of the board as designated by the board chair and approved by the department. Reimbursement for expenses shall conform with guidelines established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A member of the board may receive, in addition to actual expense reimbursement, a per diem that conforms with guidelines established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val="false"/>
          <w:color w:val="000000"/>
          <w:sz w:val="22"/>
        </w:rPr>
        <w:t>Expenses of the board and individual members shall be submitted to the chief.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61—9.4</w:t>
      </w:r>
      <w:r>
        <w:rPr>
          <w:rFonts w:ascii="Times New Roman" w:hAnsi="Times New Roman"/>
          <w:b/>
          <w:i w:val="false"/>
          <w:color w:val="000000"/>
          <w:sz w:val="22"/>
        </w:rPr>
        <w:t xml:space="preserve">(915) </w:t>
      </w:r>
      <w:r>
        <w:rPr>
          <w:rFonts w:ascii="Times New Roman" w:hAnsi="Times New Roman"/>
          <w:b/>
          <w:i w:val="false"/>
          <w:color w:val="000000"/>
          <w:sz w:val="22"/>
        </w:rPr>
        <w:t xml:space="preserve">Chair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val="false"/>
          <w:color w:val="000000"/>
          <w:sz w:val="22"/>
        </w:rPr>
        <w:t>The attorney general shall select one of the members of the board to serve as chair of the board. The chair shall serve at the pleasure of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val="false"/>
          <w:color w:val="000000"/>
          <w:sz w:val="22"/>
        </w:rPr>
        <w:t>A member who is chair of the board and relinquishes the position or is removed as the chair may maintain board membership for the remainder of the term for which the member was originally appointed.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w:t>
      </w:r>
      <w:r>
        <w:rPr>
          <w:rFonts w:ascii="Times New Roman" w:hAnsi="Times New Roman"/>
          <w:b/>
          <w:i w:val="false"/>
          <w:color w:val="000000"/>
          <w:sz w:val="22"/>
        </w:rPr>
        <w:t xml:space="preserve">(915) </w:t>
      </w:r>
      <w:r>
        <w:rPr>
          <w:rFonts w:ascii="Times New Roman" w:hAnsi="Times New Roman"/>
          <w:b/>
          <w:i w:val="false"/>
          <w:color w:val="000000"/>
          <w:sz w:val="22"/>
        </w:rPr>
        <w:t xml:space="preserve">Resignations.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val="false"/>
          <w:color w:val="000000"/>
          <w:sz w:val="22"/>
        </w:rPr>
        <w:t>Resignations from the board shall be made to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val="false"/>
          <w:color w:val="000000"/>
          <w:sz w:val="22"/>
        </w:rPr>
        <w:t>Whenever a member of the board ceases to have the statutory qualifications for appointment to the board, that member shall be considered to have resigned and a vacancy shall occur on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val="false"/>
          <w:color w:val="000000"/>
          <w:sz w:val="22"/>
        </w:rPr>
        <w:t>A board member shall be deemed to have submitted a resignation from the board if any of the following events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does not attend three or more consecutive regular meetings of the board. This paragraph does not apply unless the first and last of the consecutive meetings counted for this purpose are at least 30 days apart. The chair of the board shall contact the board member if two consecutive meetings are missed.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attends less than one-half of the regular meetings of the board within any period of 12 calendar months beginning July 1. This paragraph applies only to such a period beginning on or after the date when the person is appointed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val="false"/>
          <w:color w:val="000000"/>
          <w:sz w:val="22"/>
        </w:rPr>
        <w:t>If the member receives no notice and had no knowledge of a regular meeting and gives the attorney general a sworn statement to that effect within ten days after the person learns of the meeting, such meeting shall not be counted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events described in paragraphs </w:t>
      </w:r>
      <w:r>
        <w:rPr>
          <w:rFonts w:ascii="Times New Roman" w:hAnsi="Times New Roman"/>
          <w:b w:val="false"/>
          <w:i w:val="false"/>
          <w:color w:val="000000"/>
          <w:sz w:val="22"/>
        </w:rPr>
        <w:t>9.5(3)</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occur, then the chair of the board will provide the attorney general notice of resignation.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accept or reject such resignation. If the attorney general accepts it, the attorney general shall notify the member, in writing, that the resignation is accepted pursuant to this rule. The attorney general shall then make another appointment to fill the vacancy.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w:t>
      </w:r>
      <w:r>
        <w:rPr>
          <w:rFonts w:ascii="Times New Roman" w:hAnsi="Times New Roman"/>
          <w:b/>
          <w:i w:val="false"/>
          <w:color w:val="000000"/>
          <w:sz w:val="22"/>
        </w:rPr>
        <w:t xml:space="preserve">(915) </w:t>
      </w:r>
      <w:r>
        <w:rPr>
          <w:rFonts w:ascii="Times New Roman" w:hAnsi="Times New Roman"/>
          <w:b/>
          <w:i w:val="false"/>
          <w:color w:val="000000"/>
          <w:sz w:val="22"/>
        </w:rPr>
        <w:t xml:space="preserve">Vacancies. </w:t>
      </w:r>
      <w:r>
        <w:rPr>
          <w:rFonts w:ascii="Times New Roman" w:hAnsi="Times New Roman"/>
          <w:b w:val="false"/>
          <w:i w:val="false"/>
          <w:color w:val="000000"/>
          <w:sz w:val="22"/>
        </w:rPr>
        <w:t>Barring unusual circumstances, vacancies on the board shall be filled within 45 days after the attorney general is advised of the vacancy. Vacancies shall be filled for the remainder of the vacant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61—9.7</w:t>
      </w:r>
      <w:r>
        <w:rPr>
          <w:rFonts w:ascii="Times New Roman" w:hAnsi="Times New Roman"/>
          <w:b/>
          <w:i w:val="false"/>
          <w:color w:val="000000"/>
          <w:sz w:val="22"/>
        </w:rPr>
        <w:t xml:space="preserve">(915)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val="false"/>
          <w:color w:val="000000"/>
          <w:sz w:val="22"/>
        </w:rPr>
        <w:t>The board shall meet a minimum of once per quarter. The board may also meet at the call of the chair or upon the written request to the chair of at least five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val="false"/>
          <w:color w:val="000000"/>
          <w:sz w:val="22"/>
        </w:rPr>
        <w:t>No fewer than two-thirds of board members shall be present to vote and transact board business in accordance with the Iowa administrative procedure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w:t>
      </w:r>
      <w:r>
        <w:rPr>
          <w:rFonts w:ascii="Times New Roman" w:hAnsi="Times New Roman"/>
          <w:b/>
          <w:i w:val="false"/>
          <w:color w:val="000000"/>
          <w:sz w:val="22"/>
        </w:rPr>
        <w:t xml:space="preserve">(915) </w:t>
      </w:r>
      <w:r>
        <w:rPr>
          <w:rFonts w:ascii="Times New Roman" w:hAnsi="Times New Roman"/>
          <w:b/>
          <w:i w:val="false"/>
          <w:color w:val="000000"/>
          <w:sz w:val="22"/>
        </w:rPr>
        <w:t xml:space="preserve">Duties of board. </w:t>
      </w:r>
      <w:r>
        <w:rPr>
          <w:rFonts w:ascii="Times New Roman" w:hAnsi="Times New Roman"/>
          <w:b w:val="false"/>
          <w:i w:val="false"/>
          <w:color w:val="000000"/>
          <w:sz w:val="22"/>
        </w:rPr>
        <w:t xml:space="preserve">The board shall adopt rules pursuant to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relating to the administration of the section, including the adoption of administrative rules relating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val="false"/>
          <w:color w:val="000000"/>
          <w:sz w:val="22"/>
        </w:rPr>
        <w:t>Administration of state and federal grants received for victim services and training and outreach.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the crime victim compensation program provided in Iowa Code chapter </w:t>
      </w:r>
      <w:hyperlink r:id="rId6">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sexual abuse examination payments as provided in Iowa Code section </w:t>
      </w:r>
      <w:hyperlink r:id="rId7">
        <w:r>
          <w:rPr>
            <w:rStyle w:val="Hyperlink"/>
            <w:rFonts w:ascii="Times New Roman" w:hAnsi="Times New Roman"/>
            <w:b w:val="false"/>
            <w:i w:val="false"/>
            <w:color w:val="000000"/>
            <w:sz w:val="22"/>
          </w:rPr>
          <w:t>709.10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w:t>
      </w:r>
      <w:r>
        <w:rPr>
          <w:rFonts w:ascii="Times New Roman" w:hAnsi="Times New Roman"/>
          <w:b w:val="false"/>
          <w:i w:val="false"/>
          <w:color w:val="000000"/>
          <w:sz w:val="22"/>
        </w:rPr>
        <w:t> </w:t>
      </w:r>
      <w:r>
        <w:rPr>
          <w:rFonts w:ascii="Times New Roman" w:hAnsi="Times New Roman"/>
          <w:b w:val="false"/>
          <w:i w:val="false"/>
          <w:color w:val="000000"/>
          <w:sz w:val="22"/>
        </w:rPr>
        <w:t>Appeal procedures for victim compensation claims denied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w:t>
      </w:r>
      <w:r>
        <w:rPr>
          <w:rFonts w:ascii="Times New Roman" w:hAnsi="Times New Roman"/>
          <w:b w:val="false"/>
          <w:i w:val="false"/>
          <w:color w:val="000000"/>
          <w:sz w:val="22"/>
        </w:rPr>
        <w:t> </w:t>
      </w:r>
      <w:r>
        <w:rPr>
          <w:rFonts w:ascii="Times New Roman" w:hAnsi="Times New Roman"/>
          <w:b w:val="false"/>
          <w:i w:val="false"/>
          <w:color w:val="000000"/>
          <w:sz w:val="22"/>
        </w:rPr>
        <w:t>Appeal procedures for grants administered by the program and denied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61—9.9</w:t>
      </w:r>
      <w:r>
        <w:rPr>
          <w:rFonts w:ascii="Times New Roman" w:hAnsi="Times New Roman"/>
          <w:b/>
          <w:i w:val="false"/>
          <w:color w:val="000000"/>
          <w:sz w:val="22"/>
        </w:rPr>
        <w:t xml:space="preserve">(915) </w:t>
      </w:r>
      <w:r>
        <w:rPr>
          <w:rFonts w:ascii="Times New Roman" w:hAnsi="Times New Roman"/>
          <w:b/>
          <w:i w:val="false"/>
          <w:color w:val="000000"/>
          <w:sz w:val="22"/>
        </w:rPr>
        <w:t xml:space="preserve">Chief and staff. </w:t>
      </w:r>
      <w:r>
        <w:rPr>
          <w:rFonts w:ascii="Times New Roman" w:hAnsi="Times New Roman"/>
          <w:b w:val="false"/>
          <w:i w:val="false"/>
          <w:color w:val="000000"/>
          <w:sz w:val="22"/>
        </w:rPr>
        <w:t>The attorney general shall employ a chief and staff for the section, and they shall be employees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61—9.10</w:t>
      </w:r>
      <w:r>
        <w:rPr>
          <w:rFonts w:ascii="Times New Roman" w:hAnsi="Times New Roman"/>
          <w:b/>
          <w:i w:val="false"/>
          <w:color w:val="000000"/>
          <w:sz w:val="22"/>
        </w:rPr>
        <w:t xml:space="preserve">(915) </w:t>
      </w:r>
      <w:r>
        <w:rPr>
          <w:rFonts w:ascii="Times New Roman" w:hAnsi="Times New Roman"/>
          <w:b/>
          <w:i w:val="false"/>
          <w:color w:val="000000"/>
          <w:sz w:val="22"/>
        </w:rPr>
        <w:t xml:space="preserve">Duties of section. </w:t>
      </w:r>
      <w:r>
        <w:rPr>
          <w:rFonts w:ascii="Times New Roman" w:hAnsi="Times New Roman"/>
          <w:b w:val="false"/>
          <w:i w:val="false"/>
          <w:color w:val="000000"/>
          <w:sz w:val="22"/>
        </w:rPr>
        <w:t xml:space="preserve">In addition to the duties contained in Iowa Code section </w:t>
      </w:r>
      <w:hyperlink r:id="rId8">
        <w:r>
          <w:rPr>
            <w:rStyle w:val="Hyperlink"/>
            <w:rFonts w:ascii="Times New Roman" w:hAnsi="Times New Roman"/>
            <w:b w:val="false"/>
            <w:i w:val="false"/>
            <w:color w:val="000000"/>
            <w:sz w:val="22"/>
          </w:rPr>
          <w:t>13.31</w:t>
        </w:r>
      </w:hyperlink>
      <w:r>
        <w:rPr>
          <w:rFonts w:ascii="Times New Roman" w:hAnsi="Times New Roman"/>
          <w:b w:val="false"/>
          <w:i w:val="false"/>
          <w:color w:val="000000"/>
          <w:sz w:val="22"/>
        </w:rPr>
        <w:t>, the section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val="false"/>
          <w:color w:val="000000"/>
          <w:sz w:val="22"/>
        </w:rPr>
        <w:t>Administer other funds, grants, or programs for victim assistance created by public law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val="false"/>
          <w:color w:val="000000"/>
          <w:sz w:val="22"/>
        </w:rPr>
        <w:t>Provide administrative support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w:t>
      </w:r>
      <w:r>
        <w:rPr>
          <w:rFonts w:ascii="Times New Roman" w:hAnsi="Times New Roman"/>
          <w:b w:val="false"/>
          <w:i w:val="false"/>
          <w:color w:val="000000"/>
          <w:sz w:val="22"/>
        </w:rPr>
        <w:t> </w:t>
      </w:r>
      <w:r>
        <w:rPr>
          <w:rFonts w:ascii="Times New Roman" w:hAnsi="Times New Roman"/>
          <w:b w:val="false"/>
          <w:i w:val="false"/>
          <w:color w:val="000000"/>
          <w:sz w:val="22"/>
        </w:rPr>
        <w:t xml:space="preserve">Enter into agreements under Iowa Code chapter </w:t>
      </w:r>
      <w:hyperlink r:id="rId9">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or other law including agreements with other state agencies and political subdivisions for the transfer to the department of funds authorized by law for victim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w:t>
      </w:r>
      <w:r>
        <w:rPr>
          <w:rFonts w:ascii="Times New Roman" w:hAnsi="Times New Roman"/>
          <w:b w:val="false"/>
          <w:i w:val="false"/>
          <w:color w:val="000000"/>
          <w:sz w:val="22"/>
        </w:rPr>
        <w:t> </w:t>
      </w:r>
      <w:r>
        <w:rPr>
          <w:rFonts w:ascii="Times New Roman" w:hAnsi="Times New Roman"/>
          <w:b w:val="false"/>
          <w:i w:val="false"/>
          <w:color w:val="000000"/>
          <w:sz w:val="22"/>
        </w:rPr>
        <w:t>Accept, use, and dispose of contributions of money, services, and property that are made available by an agency or department of the state or any of its political subdivisions, the federal government, a private agency, or an individual and that are specifically designated for crime victim assistance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61—9.11</w:t>
      </w:r>
      <w:r>
        <w:rPr>
          <w:rFonts w:ascii="Times New Roman" w:hAnsi="Times New Roman"/>
          <w:b w:val="false"/>
          <w:i w:val="false"/>
          <w:color w:val="000000"/>
          <w:sz w:val="22"/>
        </w:rPr>
        <w:t xml:space="preserve"> to </w:t>
      </w:r>
      <w:r>
        <w:rPr>
          <w:rFonts w:ascii="Times New Roman" w:hAnsi="Times New Roman"/>
          <w:b/>
          <w:i w:val="false"/>
          <w:color w:val="000000"/>
          <w:sz w:val="22"/>
        </w:rPr>
        <w:t>9.24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61—9.25</w:t>
      </w:r>
      <w:r>
        <w:rPr>
          <w:rFonts w:ascii="Times New Roman" w:hAnsi="Times New Roman"/>
          <w:b/>
          <w:i w:val="false"/>
          <w:color w:val="000000"/>
          <w:sz w:val="22"/>
        </w:rPr>
        <w:t xml:space="preserve">(915) </w:t>
      </w:r>
      <w:r>
        <w:rPr>
          <w:rFonts w:ascii="Times New Roman" w:hAnsi="Times New Roman"/>
          <w:b/>
          <w:i w:val="false"/>
          <w:color w:val="000000"/>
          <w:sz w:val="22"/>
        </w:rPr>
        <w:t xml:space="preserve">Administration of the crime victim compensation program. </w:t>
      </w:r>
      <w:r>
        <w:rPr>
          <w:rFonts w:ascii="Times New Roman" w:hAnsi="Times New Roman"/>
          <w:b w:val="false"/>
          <w:i w:val="false"/>
          <w:color w:val="000000"/>
          <w:sz w:val="22"/>
        </w:rPr>
        <w:t xml:space="preserve">The section shall administer the crime victim compensation program as provided in Iowa Code chapter </w:t>
      </w:r>
      <w:hyperlink r:id="rId10">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 All questions, comments, requests for information, or applications for compensation shall be directed to the section by calling 515.281.5044 or 1.800.373.5044.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61—9.26</w:t>
      </w:r>
      <w:r>
        <w:rPr>
          <w:rFonts w:ascii="Times New Roman" w:hAnsi="Times New Roman"/>
          <w:b/>
          <w:i w:val="false"/>
          <w:color w:val="000000"/>
          <w:sz w:val="22"/>
        </w:rPr>
        <w:t xml:space="preserve">(915)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rules related to the crime victim compensation program of the section,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“Affinity” </w:t>
      </w:r>
      <w:r>
        <w:rPr>
          <w:rFonts w:ascii="Times New Roman" w:hAnsi="Times New Roman"/>
          <w:b w:val="false"/>
          <w:i w:val="false"/>
          <w:color w:val="000000"/>
          <w:sz w:val="22"/>
        </w:rPr>
        <w:t>means the relationship of persons who are related by marriage, cohabitation, or engagement to be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includes the following individuals who file an application with the crime victim compensation program: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victim of a crime, as defined in Iowa Code section </w:t>
      </w:r>
      <w:hyperlink r:id="rId11">
        <w:r>
          <w:rPr>
            <w:rStyle w:val="Hyperlink"/>
            <w:rFonts w:ascii="Times New Roman" w:hAnsi="Times New Roman"/>
            <w:b w:val="false"/>
            <w:i w:val="false"/>
            <w:color w:val="000000"/>
            <w:sz w:val="22"/>
          </w:rPr>
          <w:t>915.80(9)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responsible for the care and maintenance of a victim.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resident of Iowa who is the victim of an act that would be compensable had it occurred within the state of Iowa and any of the following apply: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act occurred in a state or foreign country that does not have a victim compensation program as defined in the federal law;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act occurred in a state or foreign country whose victim compensation program has insufficient or inadequate benefits;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act occurred on an aircraft while in flight or occurred on waters outside of the jurisdiction of any particular state or country.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 the event of a victim’s death, the spouse, former spouse, child, foster child, parent, legal guardian, foster parent, stepparent, sibling, or foster sibling of a victim, or a person cohabiting with, or related by blood or affinity to the victim. An estate is not an eligible applicant for crime victim compensation. An estate shall, however, be reimbursed for funeral and burial expenses if the estate paid the costs on behalf of an eligible applicant who shall benefit from the proceeds of the estate.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legal representative authorized to act on behalf of any of the persons listed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“Causal relationship” </w:t>
      </w:r>
      <w:r>
        <w:rPr>
          <w:rFonts w:ascii="Times New Roman" w:hAnsi="Times New Roman"/>
          <w:b w:val="false"/>
          <w:i w:val="false"/>
          <w:color w:val="000000"/>
          <w:sz w:val="22"/>
        </w:rPr>
        <w:t>means that the crime would not have occurred without the action of the victim. A causal relationship exists if the actions of the victim result in a foreseeable injury, play a substantial role in the injury, or directly cause the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means an applicant who has been found to be eligible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“Cohabiting” </w:t>
      </w:r>
      <w:r>
        <w:rPr>
          <w:rFonts w:ascii="Times New Roman" w:hAnsi="Times New Roman"/>
          <w:b w:val="false"/>
          <w:i w:val="false"/>
          <w:color w:val="000000"/>
          <w:sz w:val="22"/>
        </w:rPr>
        <w:t>means living in the same household. It is not necessary to establish that a sexual relationship exists between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means moneys awarded by the section as authorized in Iowa Code chapter </w:t>
      </w:r>
      <w:hyperlink r:id="rId12">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“Consent” </w:t>
      </w:r>
      <w:r>
        <w:rPr>
          <w:rFonts w:ascii="Times New Roman" w:hAnsi="Times New Roman"/>
          <w:b w:val="false"/>
          <w:i w:val="false"/>
          <w:color w:val="000000"/>
          <w:sz w:val="22"/>
        </w:rPr>
        <w:t>means to agree to a course of action or to voluntarily allow what is planned or done by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“Counseling” </w:t>
      </w:r>
      <w:r>
        <w:rPr>
          <w:rFonts w:ascii="Times New Roman" w:hAnsi="Times New Roman"/>
          <w:b w:val="false"/>
          <w:i w:val="false"/>
          <w:color w:val="000000"/>
          <w:sz w:val="22"/>
        </w:rPr>
        <w:t>means problem solving and support concerning emotional issues that result from a compensable crime. Counseling is a confidential service provided on an individual basis or in a group. Counseling has as a primary purpose to enhance, protect and restore a person’s sense of well-being and social functioning. Counseling does not include victim advocacy services; conversation in a nonprivate setting such as the common area of a shelter or a courthouse; transportation; or attendance at medical procedures, law enforcement interviews or civil and criminal justice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“Crime” </w:t>
      </w:r>
      <w:r>
        <w:rPr>
          <w:rFonts w:ascii="Times New Roman" w:hAnsi="Times New Roman"/>
          <w:b w:val="false"/>
          <w:i w:val="false"/>
          <w:color w:val="000000"/>
          <w:sz w:val="22"/>
        </w:rPr>
        <w:t xml:space="preserve">as defined in Iowa Code section </w:t>
      </w:r>
      <w:hyperlink r:id="rId13">
        <w:r>
          <w:rPr>
            <w:rStyle w:val="Hyperlink"/>
            <w:rFonts w:ascii="Times New Roman" w:hAnsi="Times New Roman"/>
            <w:b w:val="false"/>
            <w:i w:val="false"/>
            <w:color w:val="000000"/>
            <w:sz w:val="22"/>
          </w:rPr>
          <w:t>915.80</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Conduct punishable as a misdemeanor or a felony.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Property crimes, including but not limited to robbery, residential burglary, and residential arson, where there is a threat of personal injury or harm against a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Violation of a custody order in which the custodial parent suffers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means disqualification of an application or reduction in the amount of compensation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w:t>
      </w:r>
      <w:r>
        <w:rPr>
          <w:rFonts w:ascii="Times New Roman" w:hAnsi="Times New Roman"/>
          <w:b w:val="false"/>
          <w:i w:val="false"/>
          <w:color w:val="000000"/>
          <w:sz w:val="22"/>
        </w:rPr>
        <w:t>means a person who is wholly or partially reliant upon a victim for care or support and includes a child of the victim born after the victim’s death, or a person who is unable to care for oneself due to injury, disability, or minor age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“Incitement” </w:t>
      </w:r>
      <w:r>
        <w:rPr>
          <w:rFonts w:ascii="Times New Roman" w:hAnsi="Times New Roman"/>
          <w:b w:val="false"/>
          <w:i w:val="false"/>
          <w:color w:val="000000"/>
          <w:sz w:val="22"/>
        </w:rPr>
        <w:t>means to urge forward or to goad to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“Lost wages or income,” “lost income,”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“lost wages” </w:t>
      </w:r>
      <w:r>
        <w:rPr>
          <w:rFonts w:ascii="Times New Roman" w:hAnsi="Times New Roman"/>
          <w:b w:val="false"/>
          <w:i w:val="false"/>
          <w:color w:val="000000"/>
          <w:sz w:val="22"/>
        </w:rPr>
        <w:t>means the gross rate of pay, decreased by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care” </w:t>
      </w:r>
      <w:r>
        <w:rPr>
          <w:rFonts w:ascii="Times New Roman" w:hAnsi="Times New Roman"/>
          <w:b w:val="false"/>
          <w:i w:val="false"/>
          <w:color w:val="000000"/>
          <w:sz w:val="22"/>
        </w:rPr>
        <w:t>means services provided by or provided under the supervision of a person licensed under Iowa law as a medical physician or surgeon, physician assistant, osteopathic physician or surgeon, chiropractor, podiatrist, physical therapist, acupuncturist, or dentist. Medical care also includes services rendered in accordance with a method of healing sanctioned by a federally recognized sovereign nation or tribe.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necessary” </w:t>
      </w:r>
      <w:r>
        <w:rPr>
          <w:rFonts w:ascii="Times New Roman" w:hAnsi="Times New Roman"/>
          <w:b w:val="false"/>
          <w:i w:val="false"/>
          <w:color w:val="000000"/>
          <w:sz w:val="22"/>
        </w:rPr>
        <w:t>means that the items and services prescribed or recommended by a medical provider under the prescriptive authority of the medical provider’s license are reasonably necessary to facilitate the victim’s physical and emotional recovery from the compensable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“Pecuniary loss” </w:t>
      </w:r>
      <w:r>
        <w:rPr>
          <w:rFonts w:ascii="Times New Roman" w:hAnsi="Times New Roman"/>
          <w:b w:val="false"/>
          <w:i w:val="false"/>
          <w:color w:val="000000"/>
          <w:sz w:val="22"/>
        </w:rPr>
        <w:t>means the amount of medical or medical-related expenses that include but are not limited to eyeglasses, hearing aids, dentures, and prosthetic devices, including those that were taken, lost, or destroyed during the crime; home health care; medications; counseling; pregnancy-related services; equipment rental or purchase; property alteration; transportation for emergencies and medical care provided outside the victim’s county of residence; or health insurance premiums covered by an employer previous to the victim’s disability from the crime. Pecuniary loss shall also include the loss of income that the victim has incurred as a direct result of the injury to the extent that the victim has not been and shall not be indemnified from any 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injury”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“injury” </w:t>
      </w:r>
      <w:r>
        <w:rPr>
          <w:rFonts w:ascii="Times New Roman" w:hAnsi="Times New Roman"/>
          <w:b w:val="false"/>
          <w:i w:val="false"/>
          <w:color w:val="000000"/>
          <w:sz w:val="22"/>
        </w:rPr>
        <w:t>means bodily harm or mental suffering and shall include a victim’s pregnancy or miscarriage resulting from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crime victim compensation program of the department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“Provocation” </w:t>
      </w:r>
      <w:r>
        <w:rPr>
          <w:rFonts w:ascii="Times New Roman" w:hAnsi="Times New Roman"/>
          <w:b w:val="false"/>
          <w:i w:val="false"/>
          <w:color w:val="000000"/>
          <w:sz w:val="22"/>
        </w:rPr>
        <w:t>means to cause anger, resentment, or deep feelings that cause or instigate another to take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funds” </w:t>
      </w:r>
      <w:r>
        <w:rPr>
          <w:rFonts w:ascii="Times New Roman" w:hAnsi="Times New Roman"/>
          <w:b w:val="false"/>
          <w:i w:val="false"/>
          <w:color w:val="000000"/>
          <w:sz w:val="22"/>
        </w:rPr>
        <w:t>means moneys provided by federal, state, county, city or other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charges” </w:t>
      </w:r>
      <w:r>
        <w:rPr>
          <w:rFonts w:ascii="Times New Roman" w:hAnsi="Times New Roman"/>
          <w:b w:val="false"/>
          <w:i w:val="false"/>
          <w:color w:val="000000"/>
          <w:sz w:val="22"/>
        </w:rPr>
        <w:t>means those ordinarily charged by the provider of the service to the general public for services of a similar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means a property on which an applicant lives and may include but is not limited to a dwelling, detached garage, shed, or similar structure located on the property, or a privately owned vehicle if the vehicle serves as the primary residence.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61—9.27</w:t>
      </w:r>
      <w:r>
        <w:rPr>
          <w:rFonts w:ascii="Times New Roman" w:hAnsi="Times New Roman"/>
          <w:b/>
          <w:i w:val="false"/>
          <w:color w:val="000000"/>
          <w:sz w:val="22"/>
        </w:rPr>
        <w:t xml:space="preserve">(915) </w:t>
      </w:r>
      <w:r>
        <w:rPr>
          <w:rFonts w:ascii="Times New Roman" w:hAnsi="Times New Roman"/>
          <w:b/>
          <w:i w:val="false"/>
          <w:color w:val="000000"/>
          <w:sz w:val="22"/>
        </w:rPr>
        <w:t xml:space="preserve">Duties of the section. </w:t>
      </w:r>
      <w:r>
        <w:rPr>
          <w:rFonts w:ascii="Times New Roman" w:hAnsi="Times New Roman"/>
          <w:b w:val="false"/>
          <w:i w:val="false"/>
          <w:color w:val="000000"/>
          <w:sz w:val="22"/>
        </w:rPr>
        <w:t xml:space="preserve">The duties of the section shall include but not be limited to the duties provided for in Iowa Code sections </w:t>
      </w:r>
      <w:hyperlink r:id="rId14">
        <w:r>
          <w:rPr>
            <w:rStyle w:val="Hyperlink"/>
            <w:rFonts w:ascii="Times New Roman" w:hAnsi="Times New Roman"/>
            <w:b w:val="false"/>
            <w:i w:val="false"/>
            <w:color w:val="000000"/>
            <w:sz w:val="22"/>
          </w:rPr>
          <w:t>13.31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915.83</w:t>
        </w:r>
      </w:hyperlink>
      <w:r>
        <w:rPr>
          <w:rFonts w:ascii="Times New Roman" w:hAnsi="Times New Roman"/>
          <w:b w:val="false"/>
          <w:i w:val="false"/>
          <w:color w:val="000000"/>
          <w:sz w:val="22"/>
        </w:rPr>
        <w:t>, as well 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9.27(1)</w:t>
      </w:r>
      <w:r>
        <w:rPr>
          <w:rFonts w:ascii="Times New Roman" w:hAnsi="Times New Roman"/>
          <w:b w:val="false"/>
          <w:i w:val="false"/>
          <w:color w:val="000000"/>
          <w:sz w:val="22"/>
        </w:rPr>
        <w:t> </w:t>
      </w:r>
      <w:r>
        <w:rPr>
          <w:rFonts w:ascii="Times New Roman" w:hAnsi="Times New Roman"/>
          <w:b w:val="false"/>
          <w:i w:val="false"/>
          <w:color w:val="000000"/>
          <w:sz w:val="22"/>
        </w:rPr>
        <w:t>To prepare appropriate forms for the filing and processing of compensation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9.27(2)</w:t>
      </w:r>
      <w:r>
        <w:rPr>
          <w:rFonts w:ascii="Times New Roman" w:hAnsi="Times New Roman"/>
          <w:b w:val="false"/>
          <w:i w:val="false"/>
          <w:color w:val="000000"/>
          <w:sz w:val="22"/>
        </w:rPr>
        <w:t> </w:t>
      </w:r>
      <w:r>
        <w:rPr>
          <w:rFonts w:ascii="Times New Roman" w:hAnsi="Times New Roman"/>
          <w:b w:val="false"/>
          <w:i w:val="false"/>
          <w:color w:val="000000"/>
          <w:sz w:val="22"/>
        </w:rPr>
        <w:t>To conduct an administrative review of claims when a request for reconsideration is filed by an applicant with the chief.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9.27(3)</w:t>
      </w:r>
      <w:r>
        <w:rPr>
          <w:rFonts w:ascii="Times New Roman" w:hAnsi="Times New Roman"/>
          <w:b w:val="false"/>
          <w:i w:val="false"/>
          <w:color w:val="000000"/>
          <w:sz w:val="22"/>
        </w:rPr>
        <w:t> </w:t>
      </w:r>
      <w:r>
        <w:rPr>
          <w:rFonts w:ascii="Times New Roman" w:hAnsi="Times New Roman"/>
          <w:b w:val="false"/>
          <w:i w:val="false"/>
          <w:color w:val="000000"/>
          <w:sz w:val="22"/>
        </w:rPr>
        <w:t>To receive moneys bequeathed, awarded, or donated to the section by a public or private organization or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61—9.28</w:t>
      </w:r>
      <w:r>
        <w:rPr>
          <w:rFonts w:ascii="Times New Roman" w:hAnsi="Times New Roman"/>
          <w:b/>
          <w:i w:val="false"/>
          <w:color w:val="000000"/>
          <w:sz w:val="22"/>
        </w:rPr>
        <w:t xml:space="preserve">(915) </w:t>
      </w:r>
      <w:r>
        <w:rPr>
          <w:rFonts w:ascii="Times New Roman" w:hAnsi="Times New Roman"/>
          <w:b/>
          <w:i w:val="false"/>
          <w:color w:val="000000"/>
          <w:sz w:val="22"/>
        </w:rPr>
        <w:t xml:space="preserve">Application for compensation. </w:t>
      </w:r>
      <w:r>
        <w:rPr>
          <w:rFonts w:ascii="Times New Roman" w:hAnsi="Times New Roman"/>
          <w:b w:val="false"/>
          <w:i w:val="false"/>
          <w:color w:val="000000"/>
          <w:sz w:val="22"/>
        </w:rPr>
        <w:t xml:space="preserve">An applicant may file an application for compensation by telephone or in writing within two years of the occurrence or discovery of a crime pursuant to Iowa Code section </w:t>
      </w:r>
      <w:hyperlink r:id="rId16">
        <w:r>
          <w:rPr>
            <w:rStyle w:val="Hyperlink"/>
            <w:rFonts w:ascii="Times New Roman" w:hAnsi="Times New Roman"/>
            <w:b w:val="false"/>
            <w:i w:val="false"/>
            <w:color w:val="000000"/>
            <w:sz w:val="22"/>
          </w:rPr>
          <w:t>915.84(1)</w:t>
        </w:r>
      </w:hyperlink>
      <w:r>
        <w:rPr>
          <w:rFonts w:ascii="Times New Roman" w:hAnsi="Times New Roman"/>
          <w:b w:val="false"/>
          <w:i w:val="false"/>
          <w:color w:val="000000"/>
          <w:sz w:val="22"/>
        </w:rPr>
        <w:t xml:space="preserve">. For a victim of sexual abuse when the offender has been referred pursuant to Iowa Code chapter </w:t>
      </w:r>
      <w:hyperlink r:id="rId17">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xml:space="preserve">, the date of the discovery of the crime shall be considered to be the date when the referral was made. The program may waive the requirements of Iowa Code section </w:t>
      </w:r>
      <w:hyperlink r:id="rId18">
        <w:r>
          <w:rPr>
            <w:rStyle w:val="Hyperlink"/>
            <w:rFonts w:ascii="Times New Roman" w:hAnsi="Times New Roman"/>
            <w:b w:val="false"/>
            <w:i w:val="false"/>
            <w:color w:val="000000"/>
            <w:sz w:val="22"/>
          </w:rPr>
          <w:t>915.84(1)</w:t>
        </w:r>
      </w:hyperlink>
      <w:r>
        <w:rPr>
          <w:rFonts w:ascii="Times New Roman" w:hAnsi="Times New Roman"/>
          <w:b w:val="false"/>
          <w:i w:val="false"/>
          <w:color w:val="000000"/>
          <w:sz w:val="22"/>
        </w:rPr>
        <w:t xml:space="preserve"> if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9.28(1)</w:t>
      </w:r>
      <w:r>
        <w:rPr>
          <w:rFonts w:ascii="Times New Roman" w:hAnsi="Times New Roman"/>
          <w:b w:val="false"/>
          <w:i w:val="false"/>
          <w:color w:val="000000"/>
          <w:sz w:val="22"/>
        </w:rPr>
        <w:t> </w:t>
      </w:r>
      <w:r>
        <w:rPr>
          <w:rFonts w:ascii="Times New Roman" w:hAnsi="Times New Roman"/>
          <w:b w:val="false"/>
          <w:i/>
          <w:color w:val="000000"/>
          <w:sz w:val="22"/>
        </w:rPr>
        <w:t xml:space="preserve">Application postmarked. </w:t>
      </w:r>
      <w:r>
        <w:rPr>
          <w:rFonts w:ascii="Times New Roman" w:hAnsi="Times New Roman"/>
          <w:b w:val="false"/>
          <w:i w:val="false"/>
          <w:color w:val="000000"/>
          <w:sz w:val="22"/>
        </w:rPr>
        <w:t>An application postmarked within the prescribed time period shall be considered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9.28(2)</w:t>
      </w: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In determining whether there is good cause for waiver of the two-year application filing requirement, the victim’s age, physical condition, psychological state, and cultural or linguistic barriers and any compelling health or safety reasons that would jeopardize the well-being of the victim may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9.28(3)</w:t>
      </w:r>
      <w:r>
        <w:rPr>
          <w:rFonts w:ascii="Times New Roman" w:hAnsi="Times New Roman"/>
          <w:b w:val="false"/>
          <w:i w:val="false"/>
          <w:color w:val="000000"/>
          <w:sz w:val="22"/>
        </w:rPr>
        <w:t> </w:t>
      </w:r>
      <w:r>
        <w:rPr>
          <w:rFonts w:ascii="Times New Roman" w:hAnsi="Times New Roman"/>
          <w:b w:val="false"/>
          <w:i/>
          <w:color w:val="000000"/>
          <w:sz w:val="22"/>
        </w:rPr>
        <w:t xml:space="preserve">Multiple erroneous claims. </w:t>
      </w:r>
      <w:r>
        <w:rPr>
          <w:rFonts w:ascii="Times New Roman" w:hAnsi="Times New Roman"/>
          <w:b w:val="false"/>
          <w:i w:val="false"/>
          <w:color w:val="000000"/>
          <w:sz w:val="22"/>
        </w:rPr>
        <w:t>When two or more applications are filed by or on behalf of an individual applicant during a calendar month and the applications appear on initial review to be erroneous claims based on innocent misrepresentation or circumstances of a similar nature, the claims shall be treated as a single application. Verification shall be investigated for each crime recorded in a file with multiple erroneous applications. If any of the crimes recorded in a combined application are verified as compensable crimes, the applications for compensation for those crimes shall be separated from the combined file and assigned distinct application numbers. The program will notify the applicant whenever two or more applications have been combined as one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9.28(4)</w:t>
      </w:r>
      <w:r>
        <w:rPr>
          <w:rFonts w:ascii="Times New Roman" w:hAnsi="Times New Roman"/>
          <w:b w:val="false"/>
          <w:i w:val="false"/>
          <w:color w:val="000000"/>
          <w:sz w:val="22"/>
        </w:rPr>
        <w:t> </w:t>
      </w:r>
      <w:r>
        <w:rPr>
          <w:rFonts w:ascii="Times New Roman" w:hAnsi="Times New Roman"/>
          <w:b w:val="false"/>
          <w:i/>
          <w:color w:val="000000"/>
          <w:sz w:val="22"/>
        </w:rPr>
        <w:t xml:space="preserve">Program effective date. </w:t>
      </w:r>
      <w:r>
        <w:rPr>
          <w:rFonts w:ascii="Times New Roman" w:hAnsi="Times New Roman"/>
          <w:b w:val="false"/>
          <w:i w:val="false"/>
          <w:color w:val="000000"/>
          <w:sz w:val="22"/>
        </w:rPr>
        <w:t>The effective date of the crime victim compensation program is January 1, 1983. Victims and survivors of crimes that were committed prior to the effective date may be eligible for compensation if the program can obtain sufficient documentation to verify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9.28(5)</w:t>
      </w:r>
      <w:r>
        <w:rPr>
          <w:rFonts w:ascii="Times New Roman" w:hAnsi="Times New Roman"/>
          <w:b w:val="false"/>
          <w:i w:val="false"/>
          <w:color w:val="000000"/>
          <w:sz w:val="22"/>
        </w:rPr>
        <w:t> </w:t>
      </w:r>
      <w:r>
        <w:rPr>
          <w:rFonts w:ascii="Times New Roman" w:hAnsi="Times New Roman"/>
          <w:b w:val="false"/>
          <w:i/>
          <w:color w:val="000000"/>
          <w:sz w:val="22"/>
        </w:rPr>
        <w:t xml:space="preserve">Concurrent primary and secondary applications. </w:t>
      </w:r>
      <w:r>
        <w:rPr>
          <w:rFonts w:ascii="Times New Roman" w:hAnsi="Times New Roman"/>
          <w:b w:val="false"/>
          <w:i w:val="false"/>
          <w:color w:val="000000"/>
          <w:sz w:val="22"/>
        </w:rPr>
        <w:t>A victim may be both a primary victim and a secondary victim in the same crime. The secondary victim application shall not be opened until a benefit has been exhausted for the primary application and there is documentation of need for further benefits in that category. The secondary victim application shall be considered timely filed if the primary victim application was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9.28(6)</w:t>
      </w:r>
      <w:r>
        <w:rPr>
          <w:rFonts w:ascii="Times New Roman" w:hAnsi="Times New Roman"/>
          <w:b w:val="false"/>
          <w:i w:val="false"/>
          <w:color w:val="000000"/>
          <w:sz w:val="22"/>
        </w:rPr>
        <w:t> </w:t>
      </w:r>
      <w:r>
        <w:rPr>
          <w:rFonts w:ascii="Times New Roman" w:hAnsi="Times New Roman"/>
          <w:b w:val="false"/>
          <w:i/>
          <w:color w:val="000000"/>
          <w:sz w:val="22"/>
        </w:rPr>
        <w:t xml:space="preserve">Concurrent secondary victim applications. </w:t>
      </w:r>
      <w:r>
        <w:rPr>
          <w:rFonts w:ascii="Times New Roman" w:hAnsi="Times New Roman"/>
          <w:b w:val="false"/>
          <w:i w:val="false"/>
          <w:color w:val="000000"/>
          <w:sz w:val="22"/>
        </w:rPr>
        <w:t>A victim may be a secondary victim to multiple primary victims in a crime. A subsequent secondary victim application shall not be opened until a benefit has been exhausted in the first secondary victim application and there is documentation of need for further benefits in that category. Subsequent secondary victim applications shall be considered timely filed if the primary victim application was timely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61—9.29</w:t>
      </w:r>
      <w:r>
        <w:rPr>
          <w:rFonts w:ascii="Times New Roman" w:hAnsi="Times New Roman"/>
          <w:b/>
          <w:i w:val="false"/>
          <w:color w:val="000000"/>
          <w:sz w:val="22"/>
        </w:rPr>
        <w:t xml:space="preserve">(915) </w:t>
      </w:r>
      <w:r>
        <w:rPr>
          <w:rFonts w:ascii="Times New Roman" w:hAnsi="Times New Roman"/>
          <w:b/>
          <w:i w:val="false"/>
          <w:color w:val="000000"/>
          <w:sz w:val="22"/>
        </w:rPr>
        <w:t xml:space="preserve">Report to law enforcement. </w:t>
      </w:r>
      <w:r>
        <w:rPr>
          <w:rFonts w:ascii="Times New Roman" w:hAnsi="Times New Roman"/>
          <w:b w:val="false"/>
          <w:i w:val="false"/>
          <w:color w:val="000000"/>
          <w:sz w:val="22"/>
        </w:rPr>
        <w:t xml:space="preserve">A person is not eligible for compensation unless the crime is reported to law enforcement pursuant to Iowa Code section </w:t>
      </w:r>
      <w:hyperlink r:id="rId19">
        <w:r>
          <w:rPr>
            <w:rStyle w:val="Hyperlink"/>
            <w:rFonts w:ascii="Times New Roman" w:hAnsi="Times New Roman"/>
            <w:b w:val="false"/>
            <w:i w:val="false"/>
            <w:color w:val="000000"/>
            <w:sz w:val="22"/>
          </w:rPr>
          <w:t>915.84(3)</w:t>
        </w:r>
      </w:hyperlink>
      <w:r>
        <w:rPr>
          <w:rFonts w:ascii="Times New Roman" w:hAnsi="Times New Roman"/>
          <w:b w:val="false"/>
          <w:i w:val="false"/>
          <w:color w:val="000000"/>
          <w:sz w:val="22"/>
        </w:rPr>
        <w:t xml:space="preserve">. The program may waive the requirements of Iowa Code section </w:t>
      </w:r>
      <w:hyperlink r:id="rId20">
        <w:r>
          <w:rPr>
            <w:rStyle w:val="Hyperlink"/>
            <w:rFonts w:ascii="Times New Roman" w:hAnsi="Times New Roman"/>
            <w:b w:val="false"/>
            <w:i w:val="false"/>
            <w:color w:val="000000"/>
            <w:sz w:val="22"/>
          </w:rPr>
          <w:t>915.84(3)</w:t>
        </w:r>
      </w:hyperlink>
      <w:r>
        <w:rPr>
          <w:rFonts w:ascii="Times New Roman" w:hAnsi="Times New Roman"/>
          <w:b w:val="false"/>
          <w:i w:val="false"/>
          <w:color w:val="000000"/>
          <w:sz w:val="22"/>
        </w:rPr>
        <w:t xml:space="preserve"> if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9.29(1)</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report sources. </w:t>
      </w:r>
      <w:r>
        <w:rPr>
          <w:rFonts w:ascii="Times New Roman" w:hAnsi="Times New Roman"/>
          <w:b w:val="false"/>
          <w:i w:val="false"/>
          <w:color w:val="000000"/>
          <w:sz w:val="22"/>
        </w:rPr>
        <w:t xml:space="preserve">The program finds there is good cause to accept that the report of a crime to any of the following is a report to law enforcement pursuant to Iowa Code section </w:t>
      </w:r>
      <w:hyperlink r:id="rId21">
        <w:r>
          <w:rPr>
            <w:rStyle w:val="Hyperlink"/>
            <w:rFonts w:ascii="Times New Roman" w:hAnsi="Times New Roman"/>
            <w:b w:val="false"/>
            <w:i w:val="false"/>
            <w:color w:val="000000"/>
            <w:sz w:val="22"/>
          </w:rPr>
          <w:t>915.84(3)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Sheriffs and their regular deputies.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Marshals and police officers of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security officers employed by a board of regents institution as identified in Iowa Code section </w:t>
      </w:r>
      <w:hyperlink r:id="rId22">
        <w:r>
          <w:rPr>
            <w:rStyle w:val="Hyperlink"/>
            <w:rFonts w:ascii="Times New Roman" w:hAnsi="Times New Roman"/>
            <w:b w:val="false"/>
            <w:i w:val="false"/>
            <w:color w:val="000000"/>
            <w:sz w:val="22"/>
          </w:rPr>
          <w:t>262.13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as authorized by Iowa Code section </w:t>
      </w:r>
      <w:hyperlink r:id="rId23">
        <w:r>
          <w:rPr>
            <w:rStyle w:val="Hyperlink"/>
            <w:rFonts w:ascii="Times New Roman" w:hAnsi="Times New Roman"/>
            <w:b w:val="false"/>
            <w:i w:val="false"/>
            <w:color w:val="000000"/>
            <w:sz w:val="22"/>
          </w:rPr>
          <w:t>350.5</w:t>
        </w:r>
      </w:hyperlink>
      <w:r>
        <w:rPr>
          <w:rFonts w:ascii="Times New Roman" w:hAnsi="Times New Roman"/>
          <w:b w:val="false"/>
          <w:i w:val="false"/>
          <w:color w:val="000000"/>
          <w:sz w:val="22"/>
        </w:rPr>
        <w:t xml:space="preserve"> or </w:t>
      </w:r>
      <w:hyperlink r:id="rId24">
        <w:r>
          <w:rPr>
            <w:rStyle w:val="Hyperlink"/>
            <w:rFonts w:ascii="Times New Roman" w:hAnsi="Times New Roman"/>
            <w:b w:val="false"/>
            <w:i w:val="false"/>
            <w:color w:val="000000"/>
            <w:sz w:val="22"/>
          </w:rPr>
          <w:t>456A.13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of the department of transportation who are designated “peace officers” by resolution of the department under Iowa Code section </w:t>
      </w:r>
      <w:hyperlink r:id="rId25">
        <w:r>
          <w:rPr>
            <w:rStyle w:val="Hyperlink"/>
            <w:rFonts w:ascii="Times New Roman" w:hAnsi="Times New Roman"/>
            <w:b w:val="false"/>
            <w:i w:val="false"/>
            <w:color w:val="000000"/>
            <w:sz w:val="22"/>
          </w:rPr>
          <w:t>321.477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Correctional officers, including parole and probation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County and state prosecutors.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employee of the department of health and human services having jurisdiction to investigate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magistrate or judge of the Iowa court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9.29(2)</w:t>
      </w:r>
      <w:r>
        <w:rPr>
          <w:rFonts w:ascii="Times New Roman" w:hAnsi="Times New Roman"/>
          <w:b w:val="false"/>
          <w:i w:val="false"/>
          <w:color w:val="000000"/>
          <w:sz w:val="22"/>
        </w:rPr>
        <w:t> </w:t>
      </w:r>
      <w:r>
        <w:rPr>
          <w:rFonts w:ascii="Times New Roman" w:hAnsi="Times New Roman"/>
          <w:b w:val="false"/>
          <w:i/>
          <w:color w:val="000000"/>
          <w:sz w:val="22"/>
        </w:rPr>
        <w:t xml:space="preserve">Elements of a report. </w:t>
      </w:r>
      <w:r>
        <w:rPr>
          <w:rFonts w:ascii="Times New Roman" w:hAnsi="Times New Roman"/>
          <w:b w:val="false"/>
          <w:i w:val="false"/>
          <w:color w:val="000000"/>
          <w:sz w:val="22"/>
        </w:rPr>
        <w:t>A victim is considered to have made a report to law enforcement when the victim has provided a true and accurate report of the incident, which shall include to the best of the victim’s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whereabouts and description of the suspect, if known,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of witnesses,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9.29(3)</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record. </w:t>
      </w:r>
      <w:r>
        <w:rPr>
          <w:rFonts w:ascii="Times New Roman" w:hAnsi="Times New Roman"/>
          <w:b w:val="false"/>
          <w:i w:val="false"/>
          <w:color w:val="000000"/>
          <w:sz w:val="22"/>
        </w:rPr>
        <w:t>A law enforcement trip record may satisfy the requirement that the crime be reported to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9.29(4)</w:t>
      </w: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 xml:space="preserve">In determining whether there is good cause for waiving the requirement to report a crime to law enforcement within 72 hours of the occurrence of the crime, the victim’s age, physical condition, psychological state, and cultural or linguistic barriers and any compelling health or safety reasons that would jeopardize the well-being of the victim may be considered. In the event good cause is found, the crime must be substantiated through disclosure to another provider including but not limited to a licensed medical provider, a licensed mental health professional, or a designated victim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Child victim. </w:t>
      </w:r>
      <w:r>
        <w:rPr>
          <w:rFonts w:ascii="Times New Roman" w:hAnsi="Times New Roman"/>
          <w:b w:val="false"/>
          <w:i w:val="false"/>
          <w:color w:val="000000"/>
          <w:sz w:val="22"/>
        </w:rPr>
        <w:t xml:space="preserve">If the victim is a child as defined in Iowa Code section </w:t>
      </w:r>
      <w:hyperlink r:id="rId26">
        <w:r>
          <w:rPr>
            <w:rStyle w:val="Hyperlink"/>
            <w:rFonts w:ascii="Times New Roman" w:hAnsi="Times New Roman"/>
            <w:b w:val="false"/>
            <w:i w:val="false"/>
            <w:color w:val="000000"/>
            <w:sz w:val="22"/>
          </w:rPr>
          <w:t>232.2 </w:t>
        </w:r>
      </w:hyperlink>
      <w:r>
        <w:rPr>
          <w:rFonts w:ascii="Times New Roman" w:hAnsi="Times New Roman"/>
          <w:b w:val="false"/>
          <w:i w:val="false"/>
          <w:color w:val="000000"/>
          <w:sz w:val="22"/>
        </w:rPr>
        <w:t>and is reported to be a victim of child abuse, the section finds there is good cause to waive the 72-hour reporting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victim. </w:t>
      </w:r>
      <w:r>
        <w:rPr>
          <w:rFonts w:ascii="Times New Roman" w:hAnsi="Times New Roman"/>
          <w:b w:val="false"/>
          <w:i w:val="false"/>
          <w:color w:val="000000"/>
          <w:sz w:val="22"/>
        </w:rPr>
        <w:t xml:space="preserve">If the victim is a dependent adult as defined in Iowa Code section </w:t>
      </w:r>
      <w:hyperlink r:id="rId27">
        <w:r>
          <w:rPr>
            <w:rStyle w:val="Hyperlink"/>
            <w:rFonts w:ascii="Times New Roman" w:hAnsi="Times New Roman"/>
            <w:b w:val="false"/>
            <w:i w:val="false"/>
            <w:color w:val="000000"/>
            <w:sz w:val="22"/>
          </w:rPr>
          <w:t>235B.2(4) </w:t>
        </w:r>
      </w:hyperlink>
      <w:r>
        <w:rPr>
          <w:rFonts w:ascii="Times New Roman" w:hAnsi="Times New Roman"/>
          <w:b w:val="false"/>
          <w:i w:val="false"/>
          <w:color w:val="000000"/>
          <w:sz w:val="22"/>
        </w:rPr>
        <w:t>and is reported to be a victim of dependent adult abuse, the section finds there is good cause to waive the 72-hour reporting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Sexual abuse victim. </w:t>
      </w:r>
      <w:r>
        <w:rPr>
          <w:rFonts w:ascii="Times New Roman" w:hAnsi="Times New Roman"/>
          <w:b w:val="false"/>
          <w:i w:val="false"/>
          <w:color w:val="000000"/>
          <w:sz w:val="22"/>
        </w:rPr>
        <w:t>For a victim of sexual abuse, the 72-hour reporting requirement may be waived for good cause if a sexual abuse evidentiary examination was completed within 72 hours of the crime or if the crime was disclosed to another provider including but not limited to a licensed medical provider, a licensed mental health professional, or a designated victim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Domestic abuse victim. </w:t>
      </w:r>
      <w:r>
        <w:rPr>
          <w:rFonts w:ascii="Times New Roman" w:hAnsi="Times New Roman"/>
          <w:b w:val="false"/>
          <w:i w:val="false"/>
          <w:color w:val="000000"/>
          <w:sz w:val="22"/>
        </w:rPr>
        <w:t xml:space="preserve">For a victim of domestic abuse, the 72-hour reporting requirement may be waived for good cause if a domestic abuse protective order pursuant to Iowa Code chapter </w:t>
      </w:r>
      <w:hyperlink r:id="rId28">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 xml:space="preserve"> is entered by the court or if the crime was disclosed to another provider including but not limited to a licensed medical provider, a licensed mental health provider, or a designated victim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Victim of a sexually violent predator. </w:t>
      </w:r>
      <w:r>
        <w:rPr>
          <w:rFonts w:ascii="Times New Roman" w:hAnsi="Times New Roman"/>
          <w:b w:val="false"/>
          <w:i w:val="false"/>
          <w:color w:val="000000"/>
          <w:sz w:val="22"/>
        </w:rPr>
        <w:t xml:space="preserve">For a victim of sexual abuse, the section finds good cause to waive the 72-hour reporting requirement when the offender is referred pursuant to Iowa Code chapter </w:t>
      </w:r>
      <w:hyperlink r:id="rId29">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61—9.30</w:t>
      </w:r>
      <w:r>
        <w:rPr>
          <w:rFonts w:ascii="Times New Roman" w:hAnsi="Times New Roman"/>
          <w:b/>
          <w:i w:val="false"/>
          <w:color w:val="000000"/>
          <w:sz w:val="22"/>
        </w:rPr>
        <w:t xml:space="preserve">(915) </w:t>
      </w:r>
      <w:r>
        <w:rPr>
          <w:rFonts w:ascii="Times New Roman" w:hAnsi="Times New Roman"/>
          <w:b/>
          <w:i w:val="false"/>
          <w:color w:val="000000"/>
          <w:sz w:val="22"/>
        </w:rPr>
        <w:t xml:space="preserve">Cooperation with law enforcement. </w:t>
      </w:r>
      <w:r>
        <w:rPr>
          <w:rFonts w:ascii="Times New Roman" w:hAnsi="Times New Roman"/>
          <w:b w:val="false"/>
          <w:i w:val="false"/>
          <w:color w:val="000000"/>
          <w:sz w:val="22"/>
        </w:rPr>
        <w:t xml:space="preserve">To be eligible for compensation, the crime victim shall cooperate with the reasonable requests of law enforcement. After considering the factors in subrule </w:t>
      </w:r>
      <w:r>
        <w:rPr>
          <w:rFonts w:ascii="Times New Roman" w:hAnsi="Times New Roman"/>
          <w:b w:val="false"/>
          <w:i w:val="false"/>
          <w:color w:val="000000"/>
          <w:sz w:val="22"/>
        </w:rPr>
        <w:t>9.29(4)</w:t>
      </w:r>
      <w:r>
        <w:rPr>
          <w:rFonts w:ascii="Times New Roman" w:hAnsi="Times New Roman"/>
          <w:b w:val="false"/>
          <w:i w:val="false"/>
          <w:color w:val="000000"/>
          <w:sz w:val="22"/>
        </w:rPr>
        <w:t>, the department may waive the requirement if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9.30(1)</w:t>
      </w:r>
      <w:r>
        <w:rPr>
          <w:rFonts w:ascii="Times New Roman" w:hAnsi="Times New Roman"/>
          <w:b w:val="false"/>
          <w:i w:val="false"/>
          <w:color w:val="000000"/>
          <w:sz w:val="22"/>
        </w:rPr>
        <w:t> </w:t>
      </w:r>
      <w:r>
        <w:rPr>
          <w:rFonts w:ascii="Times New Roman" w:hAnsi="Times New Roman"/>
          <w:b w:val="false"/>
          <w:i/>
          <w:color w:val="000000"/>
          <w:sz w:val="22"/>
        </w:rPr>
        <w:t xml:space="preserve">Reasonable cooperation. </w:t>
      </w:r>
      <w:r>
        <w:rPr>
          <w:rFonts w:ascii="Times New Roman" w:hAnsi="Times New Roman"/>
          <w:b w:val="false"/>
          <w:i w:val="false"/>
          <w:color w:val="000000"/>
          <w:sz w:val="22"/>
        </w:rPr>
        <w:t>Reasonable cooperation by the victim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law enforcement with a true and accurate report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Participating in the investigation of the crime to assist law enforcement in the identification of a suspect as requested, including the review of photographs, composites, and lineups.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Participating in prosecution procedures including deposition and trial testimony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9.30(2)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cooperation. </w:t>
      </w:r>
      <w:r>
        <w:rPr>
          <w:rFonts w:ascii="Times New Roman" w:hAnsi="Times New Roman"/>
          <w:b w:val="false"/>
          <w:i w:val="false"/>
          <w:color w:val="000000"/>
          <w:sz w:val="22"/>
        </w:rPr>
        <w:t>In determining whether a victim reasonably cooperated with law enforcement, the program may consider the victim’s age, physical condition, psychological state, and cultural or linguistic barriers and any compelling health or safety reasons that would jeopardize the well-being of the victim.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9.30(3)</w:t>
      </w:r>
      <w:r>
        <w:rPr>
          <w:rFonts w:ascii="Times New Roman" w:hAnsi="Times New Roman"/>
          <w:b w:val="false"/>
          <w:i w:val="false"/>
          <w:color w:val="000000"/>
          <w:sz w:val="22"/>
        </w:rPr>
        <w:t> </w:t>
      </w:r>
      <w:r>
        <w:rPr>
          <w:rFonts w:ascii="Times New Roman" w:hAnsi="Times New Roman"/>
          <w:b w:val="false"/>
          <w:i/>
          <w:color w:val="000000"/>
          <w:sz w:val="22"/>
        </w:rPr>
        <w:t xml:space="preserve">Polygraph testing. </w:t>
      </w:r>
      <w:r>
        <w:rPr>
          <w:rFonts w:ascii="Times New Roman" w:hAnsi="Times New Roman"/>
          <w:b w:val="false"/>
          <w:i w:val="false"/>
          <w:color w:val="000000"/>
          <w:sz w:val="22"/>
        </w:rPr>
        <w:t>In determining whether a victim reasonably cooperated with law enforcement, the refusal of a victim to undergo a polygraph examination shall not be the basis of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9.30(4)</w:t>
      </w:r>
      <w:r>
        <w:rPr>
          <w:rFonts w:ascii="Times New Roman" w:hAnsi="Times New Roman"/>
          <w:b w:val="false"/>
          <w:i w:val="false"/>
          <w:color w:val="000000"/>
          <w:sz w:val="22"/>
        </w:rPr>
        <w:t> </w:t>
      </w:r>
      <w:r>
        <w:rPr>
          <w:rFonts w:ascii="Times New Roman" w:hAnsi="Times New Roman"/>
          <w:b w:val="false"/>
          <w:i/>
          <w:color w:val="000000"/>
          <w:sz w:val="22"/>
        </w:rPr>
        <w:t xml:space="preserve">Sexual abuse victim. </w:t>
      </w:r>
      <w:r>
        <w:rPr>
          <w:rFonts w:ascii="Times New Roman" w:hAnsi="Times New Roman"/>
          <w:b w:val="false"/>
          <w:i w:val="false"/>
          <w:color w:val="000000"/>
          <w:sz w:val="22"/>
        </w:rPr>
        <w:t>A victim of sexual abuse shall be deemed to have reasonably cooperated with law enforcement if the victim undergoes a sexual abuse evidentiary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9.30(5)</w:t>
      </w:r>
      <w:r>
        <w:rPr>
          <w:rFonts w:ascii="Times New Roman" w:hAnsi="Times New Roman"/>
          <w:b w:val="false"/>
          <w:i w:val="false"/>
          <w:color w:val="000000"/>
          <w:sz w:val="22"/>
        </w:rPr>
        <w:t> </w:t>
      </w:r>
      <w:r>
        <w:rPr>
          <w:rFonts w:ascii="Times New Roman" w:hAnsi="Times New Roman"/>
          <w:b w:val="false"/>
          <w:i/>
          <w:color w:val="000000"/>
          <w:sz w:val="22"/>
        </w:rPr>
        <w:t xml:space="preserve">Domestic abuse victim. </w:t>
      </w:r>
      <w:r>
        <w:rPr>
          <w:rFonts w:ascii="Times New Roman" w:hAnsi="Times New Roman"/>
          <w:b w:val="false"/>
          <w:i w:val="false"/>
          <w:color w:val="000000"/>
          <w:sz w:val="22"/>
        </w:rPr>
        <w:t>A victim of domestic abuse shall be deemed to have reasonably cooperated with law enforcement if a report of the crime was made to law enforcement.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61—9.31</w:t>
      </w:r>
      <w:r>
        <w:rPr>
          <w:rFonts w:ascii="Times New Roman" w:hAnsi="Times New Roman"/>
          <w:b/>
          <w:i w:val="false"/>
          <w:color w:val="000000"/>
          <w:sz w:val="22"/>
        </w:rPr>
        <w:t xml:space="preserve">(915) </w:t>
      </w:r>
      <w:r>
        <w:rPr>
          <w:rFonts w:ascii="Times New Roman" w:hAnsi="Times New Roman"/>
          <w:b/>
          <w:i w:val="false"/>
          <w:color w:val="000000"/>
          <w:sz w:val="22"/>
        </w:rPr>
        <w:t xml:space="preserve">Contributory conduct. </w:t>
      </w:r>
      <w:r>
        <w:rPr>
          <w:rFonts w:ascii="Times New Roman" w:hAnsi="Times New Roman"/>
          <w:b w:val="false"/>
          <w:i w:val="false"/>
          <w:color w:val="000000"/>
          <w:sz w:val="22"/>
        </w:rPr>
        <w:t>The program shall reduce or disqualify compensation when there is a causal relationship between the contributory conduct on the part of the victim and the victim’s injury or death. Contributory conduct includes consent, provocation, or incitement of the crime on the part of the victim.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w:t>
      </w:r>
      <w:r>
        <w:rPr>
          <w:rFonts w:ascii="Times New Roman" w:hAnsi="Times New Roman"/>
          <w:b w:val="false"/>
          <w:i w:val="false"/>
          <w:color w:val="000000"/>
          <w:sz w:val="22"/>
        </w:rPr>
        <w:t> </w:t>
      </w:r>
      <w:r>
        <w:rPr>
          <w:rFonts w:ascii="Times New Roman" w:hAnsi="Times New Roman"/>
          <w:b w:val="false"/>
          <w:i/>
          <w:color w:val="000000"/>
          <w:sz w:val="22"/>
        </w:rPr>
        <w:t xml:space="preserve">Consent, provocation, or incitement. </w:t>
      </w:r>
      <w:r>
        <w:rPr>
          <w:rFonts w:ascii="Times New Roman" w:hAnsi="Times New Roman"/>
          <w:b w:val="false"/>
          <w:i w:val="false"/>
          <w:color w:val="000000"/>
          <w:sz w:val="22"/>
        </w:rPr>
        <w:t xml:space="preserve">In assessing consent, provocation or incitement on the part of the victim pursuant to Iowa Code section </w:t>
      </w:r>
      <w:hyperlink r:id="rId30">
        <w:r>
          <w:rPr>
            <w:rStyle w:val="Hyperlink"/>
            <w:rFonts w:ascii="Times New Roman" w:hAnsi="Times New Roman"/>
            <w:b w:val="false"/>
            <w:i w:val="false"/>
            <w:color w:val="000000"/>
            <w:sz w:val="22"/>
          </w:rPr>
          <w:t>915.87(2)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program may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charges are filed against the suspect;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victim attempted to withdraw from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Comparable or reasonable force on the part of the suspect in response to an action of the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time from the beginning of the interaction between the victim and the suspect and the criminal act committed by the suspect;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age of the victim;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Comparable size or strength of the victim and suspect.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w:t>
      </w:r>
      <w:r>
        <w:rPr>
          <w:rFonts w:ascii="Times New Roman" w:hAnsi="Times New Roman"/>
          <w:b w:val="false"/>
          <w:i w:val="false"/>
          <w:color w:val="000000"/>
          <w:sz w:val="22"/>
        </w:rPr>
        <w:t> </w:t>
      </w:r>
      <w:r>
        <w:rPr>
          <w:rFonts w:ascii="Times New Roman" w:hAnsi="Times New Roman"/>
          <w:b w:val="false"/>
          <w:i/>
          <w:color w:val="000000"/>
          <w:sz w:val="22"/>
        </w:rPr>
        <w:t xml:space="preserve">Additional assessment of consent. </w:t>
      </w:r>
      <w:r>
        <w:rPr>
          <w:rFonts w:ascii="Times New Roman" w:hAnsi="Times New Roman"/>
          <w:b w:val="false"/>
          <w:i w:val="false"/>
          <w:color w:val="000000"/>
          <w:sz w:val="22"/>
        </w:rPr>
        <w:t xml:space="preserve">In assessing the causal nature of consent pursuant to Iowa Code section </w:t>
      </w:r>
      <w:hyperlink r:id="rId31">
        <w:r>
          <w:rPr>
            <w:rStyle w:val="Hyperlink"/>
            <w:rFonts w:ascii="Times New Roman" w:hAnsi="Times New Roman"/>
            <w:b w:val="false"/>
            <w:i w:val="false"/>
            <w:color w:val="000000"/>
            <w:sz w:val="22"/>
          </w:rPr>
          <w:t>915.87(2)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program may consider the victim’s age, physical condition, psychological state, and cultural or linguistic barriers and any compelling health or safety reasons that would jeopardize the well-being of the victim.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9.31(3)</w:t>
      </w:r>
      <w:r>
        <w:rPr>
          <w:rFonts w:ascii="Times New Roman" w:hAnsi="Times New Roman"/>
          <w:b w:val="false"/>
          <w:i w:val="false"/>
          <w:color w:val="000000"/>
          <w:sz w:val="22"/>
        </w:rPr>
        <w:t> </w:t>
      </w:r>
      <w:r>
        <w:rPr>
          <w:rFonts w:ascii="Times New Roman" w:hAnsi="Times New Roman"/>
          <w:b w:val="false"/>
          <w:i/>
          <w:color w:val="000000"/>
          <w:sz w:val="22"/>
        </w:rPr>
        <w:t xml:space="preserve">Consent in intoxicated driving cases. </w:t>
      </w:r>
      <w:r>
        <w:rPr>
          <w:rFonts w:ascii="Times New Roman" w:hAnsi="Times New Roman"/>
          <w:b w:val="false"/>
          <w:i w:val="false"/>
          <w:color w:val="000000"/>
          <w:sz w:val="22"/>
        </w:rPr>
        <w:t>A victim who was the passenger in the vehicle of a driver who has been determined to have been legally intoxicated at the time of the crash shall not be automatically denied eligibility for compensation. The program may consider whether the victim could have reasonably known the intoxication level of the driver, the driver’s behavior or judgment appeared impaired, the victim encouraged or discouraged the driver from driving, or the victim’s judgment was impaired.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9.31(4)</w:t>
      </w:r>
      <w:r>
        <w:rPr>
          <w:rFonts w:ascii="Times New Roman" w:hAnsi="Times New Roman"/>
          <w:b w:val="false"/>
          <w:i w:val="false"/>
          <w:color w:val="000000"/>
          <w:sz w:val="22"/>
        </w:rPr>
        <w:t> </w:t>
      </w:r>
      <w:r>
        <w:rPr>
          <w:rFonts w:ascii="Times New Roman" w:hAnsi="Times New Roman"/>
          <w:b w:val="false"/>
          <w:i/>
          <w:color w:val="000000"/>
          <w:sz w:val="22"/>
        </w:rPr>
        <w:t xml:space="preserve">Additional assessment of provocation and incitement and commission of a criminal act. </w:t>
      </w:r>
      <w:r>
        <w:rPr>
          <w:rFonts w:ascii="Times New Roman" w:hAnsi="Times New Roman"/>
          <w:b w:val="false"/>
          <w:i w:val="false"/>
          <w:color w:val="000000"/>
          <w:sz w:val="22"/>
        </w:rPr>
        <w:t xml:space="preserve">In assessing the causal nature of provocation or incitement and commission of a criminal act pursuant to Iowa Code section </w:t>
      </w:r>
      <w:hyperlink r:id="rId32">
        <w:r>
          <w:rPr>
            <w:rStyle w:val="Hyperlink"/>
            <w:rFonts w:ascii="Times New Roman" w:hAnsi="Times New Roman"/>
            <w:b w:val="false"/>
            <w:i w:val="false"/>
            <w:color w:val="000000"/>
            <w:sz w:val="22"/>
          </w:rPr>
          <w:t>915.87(2)</w:t>
        </w:r>
      </w:hyperlink>
      <w:r>
        <w:rPr>
          <w:rFonts w:ascii="Times New Roman" w:hAnsi="Times New Roman"/>
          <w:b w:val="false"/>
          <w:i w:val="false"/>
          <w:color w:val="000000"/>
          <w:sz w:val="22"/>
        </w:rPr>
        <w:t>, the program may consider law enforcement documentation that indicates: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Retaliatory action. </w:t>
      </w:r>
      <w:r>
        <w:rPr>
          <w:rFonts w:ascii="Times New Roman" w:hAnsi="Times New Roman"/>
          <w:b w:val="false"/>
          <w:i w:val="false"/>
          <w:color w:val="000000"/>
          <w:sz w:val="22"/>
        </w:rPr>
        <w:t>The crime was committed as retaliation for a prior physical assault or injury committed by the victim against the perpetrator, and the victim could have reasonably foreseen the likelihood of retaliation.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Gang action. </w:t>
      </w:r>
      <w:r>
        <w:rPr>
          <w:rFonts w:ascii="Times New Roman" w:hAnsi="Times New Roman"/>
          <w:b w:val="false"/>
          <w:i w:val="false"/>
          <w:color w:val="000000"/>
          <w:sz w:val="22"/>
        </w:rPr>
        <w:t xml:space="preserve">The crime was a direct result of gang activity, including gang initiation, or was inflicted as retaliation for prior gang activity in which the victim participated in a criminal street gang as defined in Iowa Code section </w:t>
      </w:r>
      <w:hyperlink r:id="rId33">
        <w:r>
          <w:rPr>
            <w:rStyle w:val="Hyperlink"/>
            <w:rFonts w:ascii="Times New Roman" w:hAnsi="Times New Roman"/>
            <w:b w:val="false"/>
            <w:i w:val="false"/>
            <w:color w:val="000000"/>
            <w:sz w:val="22"/>
          </w:rPr>
          <w:t>723A.1(2)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Mutual combat. </w:t>
      </w:r>
      <w:r>
        <w:rPr>
          <w:rFonts w:ascii="Times New Roman" w:hAnsi="Times New Roman"/>
          <w:b w:val="false"/>
          <w:i w:val="false"/>
          <w:color w:val="000000"/>
          <w:sz w:val="22"/>
        </w:rPr>
        <w:t>The crime was an incident of mutual combat if the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Initiated a physical altercation;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Made a credible threat of bodily harm against the person and took action to indicate the intent to carry out the threat and a physical altercation immediately followed;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Accepted a verbal challenge to engage in a physical altercation and took action to indicate acceptance of the challenge and a physical altercation immediately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Exception to mutual combat. </w:t>
      </w:r>
      <w:r>
        <w:rPr>
          <w:rFonts w:ascii="Times New Roman" w:hAnsi="Times New Roman"/>
          <w:b w:val="false"/>
          <w:i w:val="false"/>
          <w:color w:val="000000"/>
          <w:sz w:val="22"/>
        </w:rPr>
        <w:t>Incitement and provocation are not present in an incident of mutual combat when a significant escalation of the fight, such as the introduction of a deadly weapon, is made by a person other than the victim or when a third party becomes involved resulting in more serious injury than the victim could have reasonably expected.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w:t>
      </w:r>
      <w:r>
        <w:rPr>
          <w:rFonts w:ascii="Times New Roman" w:hAnsi="Times New Roman"/>
          <w:b w:val="false"/>
          <w:i w:val="false"/>
          <w:color w:val="000000"/>
          <w:sz w:val="22"/>
        </w:rPr>
        <w:t> </w:t>
      </w:r>
      <w:r>
        <w:rPr>
          <w:rFonts w:ascii="Times New Roman" w:hAnsi="Times New Roman"/>
          <w:b w:val="false"/>
          <w:i/>
          <w:color w:val="000000"/>
          <w:sz w:val="22"/>
        </w:rPr>
        <w:t xml:space="preserve">Victim’s criminal act. </w:t>
      </w:r>
      <w:r>
        <w:rPr>
          <w:rFonts w:ascii="Times New Roman" w:hAnsi="Times New Roman"/>
          <w:b w:val="false"/>
          <w:i w:val="false"/>
          <w:color w:val="000000"/>
          <w:sz w:val="22"/>
        </w:rPr>
        <w:t>Contributory conduct includes assisting in, attempting, or committing a criminal act by the victim. A causal relationship must be documented between the injury or death for which compensation is sought and the criminal act of the victim.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61—9.32</w:t>
      </w:r>
      <w:r>
        <w:rPr>
          <w:rFonts w:ascii="Times New Roman" w:hAnsi="Times New Roman"/>
          <w:b/>
          <w:i w:val="false"/>
          <w:color w:val="000000"/>
          <w:sz w:val="22"/>
        </w:rPr>
        <w:t xml:space="preserve">(915) </w:t>
      </w:r>
      <w:r>
        <w:rPr>
          <w:rFonts w:ascii="Times New Roman" w:hAnsi="Times New Roman"/>
          <w:b/>
          <w:i w:val="false"/>
          <w:color w:val="000000"/>
          <w:sz w:val="22"/>
        </w:rPr>
        <w:t xml:space="preserve">Eligibility for compensation. </w:t>
      </w:r>
      <w:r>
        <w:rPr>
          <w:rFonts w:ascii="Times New Roman" w:hAnsi="Times New Roman"/>
          <w:b w:val="false"/>
          <w:i w:val="false"/>
          <w:color w:val="000000"/>
          <w:sz w:val="22"/>
        </w:rPr>
        <w:t>The program shall determine the eligibility of an application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9.32(1)</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eligibility. </w:t>
      </w:r>
      <w:r>
        <w:rPr>
          <w:rFonts w:ascii="Times New Roman" w:hAnsi="Times New Roman"/>
          <w:b w:val="false"/>
          <w:i w:val="false"/>
          <w:color w:val="000000"/>
          <w:sz w:val="22"/>
        </w:rPr>
        <w:t xml:space="preserve">A denial of eligibility shall be based on written documentation that an application does not satisfy the requirements of Iowa Code chapter </w:t>
      </w:r>
      <w:hyperlink r:id="rId34">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 An applicant shall be deemed eligible for compensation if the section has not obtained written documentation supporting a denial within six months of the date of the application. Notwithstanding the foregoing, the section may extend the determination of eligibility beyond six months if a court date or grand jury hearing is pending and is reasonably expected to result in information necessary to render an eligibility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9.32(2)</w:t>
      </w:r>
      <w:r>
        <w:rPr>
          <w:rFonts w:ascii="Times New Roman" w:hAnsi="Times New Roman"/>
          <w:b w:val="false"/>
          <w:i w:val="false"/>
          <w:color w:val="000000"/>
          <w:sz w:val="22"/>
        </w:rPr>
        <w:t> </w:t>
      </w:r>
      <w:r>
        <w:rPr>
          <w:rFonts w:ascii="Times New Roman" w:hAnsi="Times New Roman"/>
          <w:b w:val="false"/>
          <w:i/>
          <w:color w:val="000000"/>
          <w:sz w:val="22"/>
        </w:rPr>
        <w:t xml:space="preserve">Reopening applications. </w:t>
      </w:r>
      <w:r>
        <w:rPr>
          <w:rFonts w:ascii="Times New Roman" w:hAnsi="Times New Roman"/>
          <w:b w:val="false"/>
          <w:i w:val="false"/>
          <w:color w:val="000000"/>
          <w:sz w:val="22"/>
        </w:rPr>
        <w:t xml:space="preserve">Pursuant to Iowa Code section </w:t>
      </w:r>
      <w:hyperlink r:id="rId35">
        <w:r>
          <w:rPr>
            <w:rStyle w:val="Hyperlink"/>
            <w:rFonts w:ascii="Times New Roman" w:hAnsi="Times New Roman"/>
            <w:b w:val="false"/>
            <w:i w:val="false"/>
            <w:color w:val="000000"/>
            <w:sz w:val="22"/>
          </w:rPr>
          <w:t>915.83(2)</w:t>
        </w:r>
      </w:hyperlink>
      <w:r>
        <w:rPr>
          <w:rFonts w:ascii="Times New Roman" w:hAnsi="Times New Roman"/>
          <w:b w:val="false"/>
          <w:i w:val="false"/>
          <w:color w:val="000000"/>
          <w:sz w:val="22"/>
        </w:rPr>
        <w:t>, the program may reopen and reinvestigate an application if the program determines that the decision was incorrect or incomplete. A denied application may be reopened and reinvestigated if it is discovered through a criminal trial or other investigatory source that the information relied upon for the denial decision was incorrect or incomplete. The eligibility of an approved application will be reopened for consideration if information is discovered through a criminal trial or other investigatory source that the information relied upon for the approval decision was incorrect or incomplete. The reopening of a denied or approved case is at the discretion of the administrator for the compensation program, the chief,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9.32(3)</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application. </w:t>
      </w:r>
      <w:r>
        <w:rPr>
          <w:rFonts w:ascii="Times New Roman" w:hAnsi="Times New Roman"/>
          <w:b w:val="false"/>
          <w:i w:val="false"/>
          <w:color w:val="000000"/>
          <w:sz w:val="22"/>
        </w:rPr>
        <w:t>An applicant may withdraw the application for compensation from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9.32(4)</w:t>
      </w:r>
      <w:r>
        <w:rPr>
          <w:rFonts w:ascii="Times New Roman" w:hAnsi="Times New Roman"/>
          <w:b w:val="false"/>
          <w:i w:val="false"/>
          <w:color w:val="000000"/>
          <w:sz w:val="22"/>
        </w:rPr>
        <w:t> </w:t>
      </w:r>
      <w:r>
        <w:rPr>
          <w:rFonts w:ascii="Times New Roman" w:hAnsi="Times New Roman"/>
          <w:b w:val="false"/>
          <w:i/>
          <w:color w:val="000000"/>
          <w:sz w:val="22"/>
        </w:rPr>
        <w:t xml:space="preserve">Maximum compensation. </w:t>
      </w:r>
      <w:r>
        <w:rPr>
          <w:rFonts w:ascii="Times New Roman" w:hAnsi="Times New Roman"/>
          <w:b w:val="false"/>
          <w:i w:val="false"/>
          <w:color w:val="000000"/>
          <w:sz w:val="22"/>
        </w:rPr>
        <w:t xml:space="preserve">Compensation shall be reduced or disqualified to the extent that the maximum compensation allowable pursuant to Iowa Code chapter </w:t>
      </w:r>
      <w:hyperlink r:id="rId36">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 xml:space="preserve"> and these rules has been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61—9.33</w:t>
      </w:r>
      <w:r>
        <w:rPr>
          <w:rFonts w:ascii="Times New Roman" w:hAnsi="Times New Roman"/>
          <w:b/>
          <w:i w:val="false"/>
          <w:color w:val="000000"/>
          <w:sz w:val="22"/>
        </w:rPr>
        <w:t xml:space="preserve">(915) </w:t>
      </w:r>
      <w:r>
        <w:rPr>
          <w:rFonts w:ascii="Times New Roman" w:hAnsi="Times New Roman"/>
          <w:b/>
          <w:i w:val="false"/>
          <w:color w:val="000000"/>
          <w:sz w:val="22"/>
        </w:rPr>
        <w:t xml:space="preserve">Emergency award of compensation. </w:t>
      </w:r>
      <w:r>
        <w:rPr>
          <w:rFonts w:ascii="Times New Roman" w:hAnsi="Times New Roman"/>
          <w:b w:val="false"/>
          <w:i w:val="false"/>
          <w:color w:val="000000"/>
          <w:sz w:val="22"/>
        </w:rPr>
        <w:t>Emergency awards of compensation may be made if the applicant has incurred a loss of income or pecuniary loss as a direct result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9.33(1)</w:t>
      </w:r>
      <w:r>
        <w:rPr>
          <w:rFonts w:ascii="Times New Roman" w:hAnsi="Times New Roman"/>
          <w:b w:val="false"/>
          <w:i w:val="false"/>
          <w:color w:val="000000"/>
          <w:sz w:val="22"/>
        </w:rPr>
        <w:t> </w:t>
      </w:r>
      <w:r>
        <w:rPr>
          <w:rFonts w:ascii="Times New Roman" w:hAnsi="Times New Roman"/>
          <w:b w:val="false"/>
          <w:i/>
          <w:color w:val="000000"/>
          <w:sz w:val="22"/>
        </w:rPr>
        <w:t xml:space="preserve">Preliminary eligibility determination. </w:t>
      </w:r>
      <w:r>
        <w:rPr>
          <w:rFonts w:ascii="Times New Roman" w:hAnsi="Times New Roman"/>
          <w:b w:val="false"/>
          <w:i w:val="false"/>
          <w:color w:val="000000"/>
          <w:sz w:val="22"/>
        </w:rPr>
        <w:t>The program must determine that the application is likely to be eligible based on documentation available including, at a minimum, the law enforcement verification form provided to law enforcement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To make an emergency award of compensation, the program must have documentation of the lost wages or the pecuniary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9.33(3)</w:t>
      </w:r>
      <w:r>
        <w:rPr>
          <w:rFonts w:ascii="Times New Roman" w:hAnsi="Times New Roman"/>
          <w:b w:val="false"/>
          <w:i w:val="false"/>
          <w:color w:val="000000"/>
          <w:sz w:val="22"/>
        </w:rPr>
        <w:t> </w:t>
      </w:r>
      <w:r>
        <w:rPr>
          <w:rFonts w:ascii="Times New Roman" w:hAnsi="Times New Roman"/>
          <w:b w:val="false"/>
          <w:i/>
          <w:color w:val="000000"/>
          <w:sz w:val="22"/>
        </w:rPr>
        <w:t xml:space="preserve">Emergency award decision. </w:t>
      </w:r>
      <w:r>
        <w:rPr>
          <w:rFonts w:ascii="Times New Roman" w:hAnsi="Times New Roman"/>
          <w:b w:val="false"/>
          <w:i w:val="false"/>
          <w:color w:val="000000"/>
          <w:sz w:val="22"/>
        </w:rPr>
        <w:t>A decision denying an emergency award shall not be appealable.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9.33(4)</w:t>
      </w:r>
      <w:r>
        <w:rPr>
          <w:rFonts w:ascii="Times New Roman" w:hAnsi="Times New Roman"/>
          <w:b w:val="false"/>
          <w:i w:val="false"/>
          <w:color w:val="000000"/>
          <w:sz w:val="22"/>
        </w:rPr>
        <w:t> </w:t>
      </w:r>
      <w:r>
        <w:rPr>
          <w:rFonts w:ascii="Times New Roman" w:hAnsi="Times New Roman"/>
          <w:b w:val="false"/>
          <w:i/>
          <w:color w:val="000000"/>
          <w:sz w:val="22"/>
        </w:rPr>
        <w:t xml:space="preserve">Offset. </w:t>
      </w:r>
      <w:r>
        <w:rPr>
          <w:rFonts w:ascii="Times New Roman" w:hAnsi="Times New Roman"/>
          <w:b w:val="false"/>
          <w:i w:val="false"/>
          <w:color w:val="000000"/>
          <w:sz w:val="22"/>
        </w:rPr>
        <w:t>Any emergency award shall be deducted from the final award of compensation made to the claimant.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61—9.34</w:t>
      </w:r>
      <w:r>
        <w:rPr>
          <w:rFonts w:ascii="Times New Roman" w:hAnsi="Times New Roman"/>
          <w:b/>
          <w:i w:val="false"/>
          <w:color w:val="000000"/>
          <w:sz w:val="22"/>
        </w:rPr>
        <w:t xml:space="preserve">(915) </w:t>
      </w:r>
      <w:r>
        <w:rPr>
          <w:rFonts w:ascii="Times New Roman" w:hAnsi="Times New Roman"/>
          <w:b/>
          <w:i w:val="false"/>
          <w:color w:val="000000"/>
          <w:sz w:val="22"/>
        </w:rPr>
        <w:t xml:space="preserve">Computation of compensation. </w:t>
      </w:r>
      <w:r>
        <w:rPr>
          <w:rFonts w:ascii="Times New Roman" w:hAnsi="Times New Roman"/>
          <w:b w:val="false"/>
          <w:i w:val="false"/>
          <w:color w:val="000000"/>
          <w:sz w:val="22"/>
        </w:rPr>
        <w:t>The section shall determine the amount of compensation to be awarded to an eligible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9.34(1)</w:t>
      </w:r>
      <w:r>
        <w:rPr>
          <w:rFonts w:ascii="Times New Roman" w:hAnsi="Times New Roman"/>
          <w:b w:val="false"/>
          <w:i w:val="false"/>
          <w:color w:val="000000"/>
          <w:sz w:val="22"/>
        </w:rPr>
        <w:t> </w:t>
      </w:r>
      <w:r>
        <w:rPr>
          <w:rFonts w:ascii="Times New Roman" w:hAnsi="Times New Roman"/>
          <w:b w:val="false"/>
          <w:i/>
          <w:color w:val="000000"/>
          <w:sz w:val="22"/>
        </w:rPr>
        <w:t xml:space="preserve">Benefit limits. </w:t>
      </w:r>
      <w:r>
        <w:rPr>
          <w:rFonts w:ascii="Times New Roman" w:hAnsi="Times New Roman"/>
          <w:b w:val="false"/>
          <w:i w:val="false"/>
          <w:color w:val="000000"/>
          <w:sz w:val="22"/>
        </w:rPr>
        <w:t xml:space="preserve">Compensation shall be made up to the benefit category limits in effect on the date the application is filed. For an eligible victim of sexual abuse when the offender has been referred pursuant to Iowa Code chapter </w:t>
      </w:r>
      <w:hyperlink r:id="rId37">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compensation shall be paid for expenses incurred after referral of the offender.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9.34(2)</w:t>
      </w:r>
      <w:r>
        <w:rPr>
          <w:rFonts w:ascii="Times New Roman" w:hAnsi="Times New Roman"/>
          <w:b w:val="false"/>
          <w:i w:val="false"/>
          <w:color w:val="000000"/>
          <w:sz w:val="22"/>
        </w:rPr>
        <w:t> </w:t>
      </w:r>
      <w:r>
        <w:rPr>
          <w:rFonts w:ascii="Times New Roman" w:hAnsi="Times New Roman"/>
          <w:b w:val="false"/>
          <w:i/>
          <w:color w:val="000000"/>
          <w:sz w:val="22"/>
        </w:rPr>
        <w:t xml:space="preserve">Payer of last resort. </w:t>
      </w:r>
      <w:r>
        <w:rPr>
          <w:rFonts w:ascii="Times New Roman" w:hAnsi="Times New Roman"/>
          <w:b w:val="false"/>
          <w:i w:val="false"/>
          <w:color w:val="000000"/>
          <w:sz w:val="22"/>
        </w:rPr>
        <w:t>The program is a payer of last resort pursuant to federal law 34 U.S.C. 20102. Compensation shall not be paid for services when the provision for those services is mandated by law or administrative rule to be the responsibility of another governmental unit, private agency or program. Payments shall be reduced by payments made by offenders and third parties responsible for the damages of the crime. The department may waive this requirement for good cause after considering the factors in subrule 9.29(4) for compensation made from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9.34(3)</w:t>
      </w:r>
      <w:r>
        <w:rPr>
          <w:rFonts w:ascii="Times New Roman" w:hAnsi="Times New Roman"/>
          <w:b w:val="false"/>
          <w:i w:val="false"/>
          <w:color w:val="000000"/>
          <w:sz w:val="22"/>
        </w:rPr>
        <w:t> </w:t>
      </w:r>
      <w:r>
        <w:rPr>
          <w:rFonts w:ascii="Times New Roman" w:hAnsi="Times New Roman"/>
          <w:b w:val="false"/>
          <w:i/>
          <w:color w:val="000000"/>
          <w:sz w:val="22"/>
        </w:rPr>
        <w:t xml:space="preserve">Voluntary financial programs. </w:t>
      </w:r>
      <w:r>
        <w:rPr>
          <w:rFonts w:ascii="Times New Roman" w:hAnsi="Times New Roman"/>
          <w:b w:val="false"/>
          <w:i w:val="false"/>
          <w:color w:val="000000"/>
          <w:sz w:val="22"/>
        </w:rPr>
        <w:t>Compensation applicants will be encouraged to apply for other financial assistance programs to pay costs resulting from the crime-related injury. However, no applicant will be denied compensation benefits based on the applicant’s refusal to seek funds from a voluntary financial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9.34(4)</w:t>
      </w:r>
      <w:r>
        <w:rPr>
          <w:rFonts w:ascii="Times New Roman" w:hAnsi="Times New Roman"/>
          <w:b w:val="false"/>
          <w:i w:val="false"/>
          <w:color w:val="000000"/>
          <w:sz w:val="22"/>
        </w:rPr>
        <w:t> </w:t>
      </w:r>
      <w:r>
        <w:rPr>
          <w:rFonts w:ascii="Times New Roman" w:hAnsi="Times New Roman"/>
          <w:b w:val="false"/>
          <w:i/>
          <w:color w:val="000000"/>
          <w:sz w:val="22"/>
        </w:rPr>
        <w:t xml:space="preserve">Insurance providers. </w:t>
      </w:r>
      <w:r>
        <w:rPr>
          <w:rFonts w:ascii="Times New Roman" w:hAnsi="Times New Roman"/>
          <w:b w:val="false"/>
          <w:i w:val="false"/>
          <w:color w:val="000000"/>
          <w:sz w:val="22"/>
        </w:rPr>
        <w:t>Eligible victims and claimants must give service providers the information necessary to bill insurance providers for crime-related treatment. Payment of compensation will not be made if the victim refuses or fails to provide information requested by the service or insurance provider or to sign the required assignment of benefits within a reasonable time frame. The department may waive this requirement if the victim can demonstrate good cause exists. Good cause may include but is not limited to situations where the insurance policyholder is the perpetrator of the crime that gave rise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9.34(5)</w:t>
      </w:r>
      <w:r>
        <w:rPr>
          <w:rFonts w:ascii="Times New Roman" w:hAnsi="Times New Roman"/>
          <w:b w:val="false"/>
          <w:i w:val="false"/>
          <w:color w:val="000000"/>
          <w:sz w:val="22"/>
        </w:rPr>
        <w:t> </w:t>
      </w:r>
      <w:r>
        <w:rPr>
          <w:rFonts w:ascii="Times New Roman" w:hAnsi="Times New Roman"/>
          <w:b w:val="false"/>
          <w:i/>
          <w:color w:val="000000"/>
          <w:sz w:val="22"/>
        </w:rPr>
        <w:t xml:space="preserve">Supplanting of funds prohibited. </w:t>
      </w:r>
      <w:r>
        <w:rPr>
          <w:rFonts w:ascii="Times New Roman" w:hAnsi="Times New Roman"/>
          <w:b w:val="false"/>
          <w:i w:val="false"/>
          <w:color w:val="000000"/>
          <w:sz w:val="22"/>
        </w:rPr>
        <w:t>Compensation shall be made only when the claimant is responsible for the cost of crime-related injury. Compensation shall not be paid when a government entity, including but not limited to a mental health facility, jail, or prison, is responsible for the costs of treatment for injury from crime, unless the entity is legally allowed to pass those costs along to the victim.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61—9.35</w:t>
      </w:r>
      <w:r>
        <w:rPr>
          <w:rFonts w:ascii="Times New Roman" w:hAnsi="Times New Roman"/>
          <w:b/>
          <w:i w:val="false"/>
          <w:color w:val="000000"/>
          <w:sz w:val="22"/>
        </w:rPr>
        <w:t xml:space="preserve">(915) </w:t>
      </w:r>
      <w:r>
        <w:rPr>
          <w:rFonts w:ascii="Times New Roman" w:hAnsi="Times New Roman"/>
          <w:b/>
          <w:i w:val="false"/>
          <w:color w:val="000000"/>
          <w:sz w:val="22"/>
        </w:rPr>
        <w:t xml:space="preserve">Computation of benefit categories. </w:t>
      </w:r>
      <w:r>
        <w:rPr>
          <w:rFonts w:ascii="Times New Roman" w:hAnsi="Times New Roman"/>
          <w:b w:val="false"/>
          <w:i w:val="false"/>
          <w:color w:val="000000"/>
          <w:sz w:val="22"/>
        </w:rPr>
        <w:t xml:space="preserve">The section shall determine the amount of compensation to be awarded to an eligible applicant for injury from crime for each benefit category pursuant to Iowa Code section </w:t>
      </w:r>
      <w:hyperlink r:id="rId38">
        <w:r>
          <w:rPr>
            <w:rStyle w:val="Hyperlink"/>
            <w:rFonts w:ascii="Times New Roman" w:hAnsi="Times New Roman"/>
            <w:b w:val="false"/>
            <w:i w:val="false"/>
            <w:color w:val="000000"/>
            <w:sz w:val="22"/>
          </w:rPr>
          <w:t>915.86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w:t>
      </w:r>
      <w:r>
        <w:rPr>
          <w:rFonts w:ascii="Times New Roman" w:hAnsi="Times New Roman"/>
          <w:b w:val="false"/>
          <w:i w:val="false"/>
          <w:color w:val="000000"/>
          <w:sz w:val="22"/>
        </w:rPr>
        <w:t> </w:t>
      </w:r>
      <w:r>
        <w:rPr>
          <w:rFonts w:ascii="Times New Roman" w:hAnsi="Times New Roman"/>
          <w:b w:val="false"/>
          <w:i/>
          <w:color w:val="000000"/>
          <w:sz w:val="22"/>
        </w:rPr>
        <w:t xml:space="preserve">Medical care. </w:t>
      </w:r>
      <w:r>
        <w:rPr>
          <w:rFonts w:ascii="Times New Roman" w:hAnsi="Times New Roman"/>
          <w:b w:val="false"/>
          <w:i w:val="false"/>
          <w:color w:val="000000"/>
          <w:sz w:val="22"/>
        </w:rPr>
        <w:t xml:space="preserve">Compensation may be paid for the reasonable expenses of medical care provided to eligible crime victims by, or under the supervision of, a person licensed by the state under Iowa Code chapter </w:t>
      </w:r>
      <w:hyperlink r:id="rId3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or </w:t>
      </w:r>
      <w:hyperlink r:id="rId4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When preexisting medical conditions are treated during crime-related medical care, the program may reduce payment to a percentage equal to the portion of the medical care determined to be directly related to the compensable crime. Medical care expenses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Medical care sanctioned by sovereign nations and tribes. </w:t>
      </w:r>
      <w:r>
        <w:rPr>
          <w:rFonts w:ascii="Times New Roman" w:hAnsi="Times New Roman"/>
          <w:b w:val="false"/>
          <w:i w:val="false"/>
          <w:color w:val="000000"/>
          <w:sz w:val="22"/>
        </w:rPr>
        <w:t>Compensation may be paid for medical care rendered in accordance with a method of healing sanctioned by a state-recognized or federally recognized sovereign nation or tribe.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counseling costs. </w:t>
      </w:r>
      <w:r>
        <w:rPr>
          <w:rFonts w:ascii="Times New Roman" w:hAnsi="Times New Roman"/>
          <w:b w:val="false"/>
          <w:i w:val="false"/>
          <w:color w:val="000000"/>
          <w:sz w:val="22"/>
        </w:rPr>
        <w:t>Compensation may be paid for counseling provided under the direct supervision of a psychiatrist or other physician and shall be applied toward the medical benefit maximum.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Medical care for homicide victim survivors. </w:t>
      </w:r>
      <w:r>
        <w:rPr>
          <w:rFonts w:ascii="Times New Roman" w:hAnsi="Times New Roman"/>
          <w:b w:val="false"/>
          <w:i w:val="false"/>
          <w:color w:val="000000"/>
          <w:sz w:val="22"/>
        </w:rPr>
        <w:t>Compensation may be paid to a spouse, child, parent, sibling, or person related by blood or affinity to a homicide victim for the same types of medical care that are allowable for primary victims, including but not limited to hospital and physician care, psychiatric care, prescriptions, and transportation expenses related to injury from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equipment and property alteration. </w:t>
      </w:r>
      <w:r>
        <w:rPr>
          <w:rFonts w:ascii="Times New Roman" w:hAnsi="Times New Roman"/>
          <w:b w:val="false"/>
          <w:i w:val="false"/>
          <w:color w:val="000000"/>
          <w:sz w:val="22"/>
        </w:rPr>
        <w:t>Compensation may be paid for equipment and property alteration that are prescribed as medically necessary care due to injury from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Medical supplies. </w:t>
      </w:r>
      <w:r>
        <w:rPr>
          <w:rFonts w:ascii="Times New Roman" w:hAnsi="Times New Roman"/>
          <w:b w:val="false"/>
          <w:i w:val="false"/>
          <w:color w:val="000000"/>
          <w:sz w:val="22"/>
        </w:rPr>
        <w:t>Compensation may be paid for medical care supplies and incidental supplies necessary for medical care due to injury from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Medical care for pregnancy. </w:t>
      </w:r>
      <w:r>
        <w:rPr>
          <w:rFonts w:ascii="Times New Roman" w:hAnsi="Times New Roman"/>
          <w:b w:val="false"/>
          <w:i w:val="false"/>
          <w:color w:val="000000"/>
          <w:sz w:val="22"/>
        </w:rPr>
        <w:t>Compensation may be paid for medical care costs related to pregnancy resulting from the crime of sexual abuse. Eligible expenses for the care of the victim shall be paid. Expenses incurred for the care of a newborn child are not compensable.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Medical devices. </w:t>
      </w:r>
      <w:r>
        <w:rPr>
          <w:rFonts w:ascii="Times New Roman" w:hAnsi="Times New Roman"/>
          <w:b w:val="false"/>
          <w:i w:val="false"/>
          <w:color w:val="000000"/>
          <w:sz w:val="22"/>
        </w:rPr>
        <w:t>Compensation may be paid for the replacement of a medical device including but not limited to a sight or hearing device, dentures, a prosthetic device, a wheelchair, and medication that was taken, lost or destroyed during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Transportation for medical emergency. </w:t>
      </w:r>
      <w:r>
        <w:rPr>
          <w:rFonts w:ascii="Times New Roman" w:hAnsi="Times New Roman"/>
          <w:b w:val="false"/>
          <w:i w:val="false"/>
          <w:color w:val="000000"/>
          <w:sz w:val="22"/>
        </w:rPr>
        <w:t>Compensation may be paid for the reasonable cost of transportation in a medical emergency by private vehicle at the per-mile rate established by the department of administrative services for state employees using a privately owned vehicle for state business. Mileage will be based on mileage calculation from the most current map published by the department of transportation. Transportation within a city limit will be based on the program’s estimate of mileage from the location of the injured victim to the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Transportation for nonemergency care. </w:t>
      </w:r>
      <w:r>
        <w:rPr>
          <w:rFonts w:ascii="Times New Roman" w:hAnsi="Times New Roman"/>
          <w:b w:val="false"/>
          <w:i w:val="false"/>
          <w:color w:val="000000"/>
          <w:sz w:val="22"/>
        </w:rPr>
        <w:t>Compensation may be paid for the cost of transportation by commercial vehicle or by private car for nonemergency medical care and counseling received outside of the victim’s county of residence. Transportation provided by private vehicle for nonemergency care will be reimbursed at the per-mile rate established by the department of administrative services for state employees using a privately owned vehicle for state business. Mileage will be based on mileage calculation from the most current map published by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Transportation medical benefit. </w:t>
      </w:r>
      <w:r>
        <w:rPr>
          <w:rFonts w:ascii="Times New Roman" w:hAnsi="Times New Roman"/>
          <w:b w:val="false"/>
          <w:i w:val="false"/>
          <w:color w:val="000000"/>
          <w:sz w:val="22"/>
        </w:rPr>
        <w:t>Compensation may be paid for transportation from the applicable medical care or counseling benefit category. The available funds to the victim from the applicable benefit category will be reduced by the amount of compensation paid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Health insurance. </w:t>
      </w:r>
      <w:r>
        <w:rPr>
          <w:rFonts w:ascii="Times New Roman" w:hAnsi="Times New Roman"/>
          <w:b w:val="false"/>
          <w:i w:val="false"/>
          <w:color w:val="000000"/>
          <w:sz w:val="22"/>
        </w:rPr>
        <w:t>Compensation may be paid for premiums to continue a health insurance policy that was provided in whole or in part by the victim’s employer prior to the crime and the employment ceased as a result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9.35(2)</w:t>
      </w:r>
      <w:r>
        <w:rPr>
          <w:rFonts w:ascii="Times New Roman" w:hAnsi="Times New Roman"/>
          <w:b w:val="false"/>
          <w:i w:val="false"/>
          <w:color w:val="000000"/>
          <w:sz w:val="22"/>
        </w:rPr>
        <w:t> </w:t>
      </w:r>
      <w:r>
        <w:rPr>
          <w:rFonts w:ascii="Times New Roman" w:hAnsi="Times New Roman"/>
          <w:b w:val="false"/>
          <w:i/>
          <w:color w:val="000000"/>
          <w:sz w:val="22"/>
        </w:rPr>
        <w:t xml:space="preserve">Medical care records. </w:t>
      </w:r>
      <w:r>
        <w:rPr>
          <w:rFonts w:ascii="Times New Roman" w:hAnsi="Times New Roman"/>
          <w:b w:val="false"/>
          <w:i w:val="false"/>
          <w:color w:val="000000"/>
          <w:sz w:val="22"/>
        </w:rPr>
        <w:t>When compensation for medical care is requested, the provider shall submit medical records that document the care provided and show that the medical care is for injury from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9.35(3)</w:t>
      </w:r>
      <w:r>
        <w:rPr>
          <w:rFonts w:ascii="Times New Roman" w:hAnsi="Times New Roman"/>
          <w:b w:val="false"/>
          <w:i w:val="false"/>
          <w:color w:val="000000"/>
          <w:sz w:val="22"/>
        </w:rPr>
        <w:t> </w:t>
      </w:r>
      <w:r>
        <w:rPr>
          <w:rFonts w:ascii="Times New Roman" w:hAnsi="Times New Roman"/>
          <w:b w:val="false"/>
          <w:i/>
          <w:color w:val="000000"/>
          <w:sz w:val="22"/>
        </w:rPr>
        <w:t xml:space="preserve">Mental health counseling. </w:t>
      </w:r>
      <w:r>
        <w:rPr>
          <w:rFonts w:ascii="Times New Roman" w:hAnsi="Times New Roman"/>
          <w:b w:val="false"/>
          <w:i w:val="false"/>
          <w:color w:val="000000"/>
          <w:sz w:val="22"/>
        </w:rPr>
        <w:t xml:space="preserve">Compensation may be paid for the reasonable costs of up to 12 mental health counseling sessions for eligible crime victims and survivors of a homicide victim with the provision of a treatment plan and certification as defined in paragraph </w:t>
      </w:r>
      <w:hyperlink r:id="rId47">
        <w:r>
          <w:rPr>
            <w:rStyle w:val="Hyperlink"/>
            <w:rFonts w:ascii="Times New Roman" w:hAnsi="Times New Roman"/>
            <w:b w:val="false"/>
            <w:i w:val="false"/>
            <w:color w:val="000000"/>
            <w:sz w:val="22"/>
          </w:rPr>
          <w:t>9.35(4)</w:t>
        </w:r>
        <w:r>
          <w:rPr>
            <w:rFonts w:ascii="Times New Roman" w:hAnsi="Times New Roman"/>
            <w:b w:val="false"/>
            <w:i/>
            <w:color w:val="000000"/>
            <w:sz w:val="22"/>
          </w:rPr>
          <w:t>“a.”</w:t>
        </w:r>
      </w:hyperlink>
      <w:r>
        <w:rPr>
          <w:rFonts w:ascii="Times New Roman" w:hAnsi="Times New Roman"/>
          <w:b w:val="false"/>
          <w:i w:val="false"/>
          <w:color w:val="000000"/>
          <w:sz w:val="22"/>
        </w:rPr>
        <w:t xml:space="preserve"> Costs for those 12 sessions will be paid in full if the crime is noted in the treatment plan. If preexisting mental health issues are addressed during crime-related counseling sessions following the initial 12 visits, the program may reduce payment to a percentage equal to the portion of the counseling determined to be directly related to the compensable crime.</w:t>
      </w:r>
    </w:p>
    <w:p>
      <w:pPr>
        <w:spacing w:before="0" w:after="0"/>
        <w:ind w:left="120"/>
        <w:jc w:val="both"/>
      </w:pPr>
      <w:r>
        <w:rPr>
          <w:rFonts w:ascii="Times New Roman" w:hAnsi="Times New Roman"/>
          <w:b w:val="false"/>
          <w:i w:val="false"/>
          <w:color w:val="000000"/>
          <w:sz w:val="22"/>
        </w:rPr>
        <w:t>The mental health counseling provider shall submit a vitae establishing the provider’s educational qualifications for compensation. A provider who is required to be licensed under Iowa law must provide proof of licensure and good standing with the department of inspections, appeals, and licensing. Compensation shall be paid for mental health counseling provided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Master’s level counselor. </w:t>
      </w:r>
      <w:r>
        <w:rPr>
          <w:rFonts w:ascii="Times New Roman" w:hAnsi="Times New Roman"/>
          <w:b w:val="false"/>
          <w:i w:val="false"/>
          <w:color w:val="000000"/>
          <w:sz w:val="22"/>
        </w:rPr>
        <w:t>Compensation may be paid for mental health counseling provided by a person holding at least a master’s degree in a mental health or counseling field including but not limited to social work, psychology, guidance and counseling, behavioral sciences, art therapy, marriage and family therapy, child life therapy, and advanced mental health registered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Supervised mental health counselor. </w:t>
      </w:r>
      <w:r>
        <w:rPr>
          <w:rFonts w:ascii="Times New Roman" w:hAnsi="Times New Roman"/>
          <w:b w:val="false"/>
          <w:i w:val="false"/>
          <w:color w:val="000000"/>
          <w:sz w:val="22"/>
        </w:rPr>
        <w:t>Compensation may be paid for mental health counseling provided by a counselor who does not have a master’s degree but is under the supervision of a counselor with a master’s degree. The supervising mental health counselor must sign the session notes that must be submitted for review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Intern mental health counselors. </w:t>
      </w:r>
      <w:r>
        <w:rPr>
          <w:rFonts w:ascii="Times New Roman" w:hAnsi="Times New Roman"/>
          <w:b w:val="false"/>
          <w:i w:val="false"/>
          <w:color w:val="000000"/>
          <w:sz w:val="22"/>
        </w:rPr>
        <w:t>Compensation may be paid for mental health counseling provided by an intern candidate for a master’s degree when the counseling is provided within a course of professional education and the intern is supervised by a provider eligible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Out-of-state providers. </w:t>
      </w:r>
      <w:r>
        <w:rPr>
          <w:rFonts w:ascii="Times New Roman" w:hAnsi="Times New Roman"/>
          <w:b w:val="false"/>
          <w:i w:val="false"/>
          <w:color w:val="000000"/>
          <w:sz w:val="22"/>
        </w:rPr>
        <w:t>Compensation may be paid to mental health counselors outside Iowa who provide services to victims of crime eligible for the Iowa program if the mental health counselor meets the professional licensure criteria of the state in which the counselor 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9.35(4)</w:t>
      </w:r>
      <w:r>
        <w:rPr>
          <w:rFonts w:ascii="Times New Roman" w:hAnsi="Times New Roman"/>
          <w:b w:val="false"/>
          <w:i w:val="false"/>
          <w:color w:val="000000"/>
          <w:sz w:val="22"/>
        </w:rPr>
        <w:t> </w:t>
      </w:r>
      <w:r>
        <w:rPr>
          <w:rFonts w:ascii="Times New Roman" w:hAnsi="Times New Roman"/>
          <w:b w:val="false"/>
          <w:i/>
          <w:color w:val="000000"/>
          <w:sz w:val="22"/>
        </w:rPr>
        <w:t xml:space="preserve">Mental health counseling records. </w:t>
      </w:r>
      <w:r>
        <w:rPr>
          <w:rFonts w:ascii="Times New Roman" w:hAnsi="Times New Roman"/>
          <w:b w:val="false"/>
          <w:i w:val="false"/>
          <w:color w:val="000000"/>
          <w:sz w:val="22"/>
        </w:rPr>
        <w:t>When compensation for mental health counseling is requested, the provider shall complete verification forms related to the counseling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Treatment plan and certification form. </w:t>
      </w:r>
      <w:r>
        <w:rPr>
          <w:rFonts w:ascii="Times New Roman" w:hAnsi="Times New Roman"/>
          <w:b w:val="false"/>
          <w:i w:val="false"/>
          <w:color w:val="000000"/>
          <w:sz w:val="22"/>
        </w:rPr>
        <w:t>Information submitted on the treatment plan and certification form shall include but not be limited to a summary of the initial evaluation, any preexisting mental health diagnoses currently being treated, current diagnoses, issues addressed, counseling goals, expected length of counseling services, and certification of the percentage of mental health counseling directly related to issues arising from the victimization.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progress and certification form. </w:t>
      </w:r>
      <w:r>
        <w:rPr>
          <w:rFonts w:ascii="Times New Roman" w:hAnsi="Times New Roman"/>
          <w:b w:val="false"/>
          <w:i w:val="false"/>
          <w:color w:val="000000"/>
          <w:sz w:val="22"/>
        </w:rPr>
        <w:t>At six-month intervals for the duration of the crime-related mental health counseling, the provider shall submit a treatment progress and certification form. Information on the form shall include progress on previously stated goals of counseling, current goals, current diagnosis, expected length of additional counseling, and certification of the percentage of mental health counseling directly related to issues arising from the victimization.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Session notes. </w:t>
      </w:r>
      <w:r>
        <w:rPr>
          <w:rFonts w:ascii="Times New Roman" w:hAnsi="Times New Roman"/>
          <w:b w:val="false"/>
          <w:i w:val="false"/>
          <w:color w:val="000000"/>
          <w:sz w:val="22"/>
        </w:rPr>
        <w:t>The program may require submission of session notes to determine if the mental health counseling is directly related to the crime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counseling expenses for a victim exceed $3,000.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has not completed the treatment and certification plan with statement of the percentage of treatment directly related to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counseling begins, or is provided, more than one year after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treatment plan or progress summary indicates that the victim is receiving treatment for a diagnosis or issue not exacerbated by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9.35(5)</w:t>
      </w:r>
      <w:r>
        <w:rPr>
          <w:rFonts w:ascii="Times New Roman" w:hAnsi="Times New Roman"/>
          <w:b w:val="false"/>
          <w:i w:val="false"/>
          <w:color w:val="000000"/>
          <w:sz w:val="22"/>
        </w:rPr>
        <w:t> </w:t>
      </w:r>
      <w:r>
        <w:rPr>
          <w:rFonts w:ascii="Times New Roman" w:hAnsi="Times New Roman"/>
          <w:b w:val="false"/>
          <w:i/>
          <w:color w:val="000000"/>
          <w:sz w:val="22"/>
        </w:rPr>
        <w:t xml:space="preserve">Counseling with the perpetrator. </w:t>
      </w:r>
      <w:r>
        <w:rPr>
          <w:rFonts w:ascii="Times New Roman" w:hAnsi="Times New Roman"/>
          <w:b w:val="false"/>
          <w:i w:val="false"/>
          <w:color w:val="000000"/>
          <w:sz w:val="22"/>
        </w:rPr>
        <w:t>Compensation for mental health counseling that includes the perpetrator of the crime may be payable when the perpetrator takes part only to take responsibility for the crime and apologize to the victim and, at the request of the victim, the victim is allowed to confront the perpetrator regarding the effects of the crime; or where treatment is court-ordered.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9.35(6)</w:t>
      </w:r>
      <w:r>
        <w:rPr>
          <w:rFonts w:ascii="Times New Roman" w:hAnsi="Times New Roman"/>
          <w:b w:val="false"/>
          <w:i w:val="false"/>
          <w:color w:val="000000"/>
          <w:sz w:val="22"/>
        </w:rPr>
        <w:t> </w:t>
      </w:r>
      <w:r>
        <w:rPr>
          <w:rFonts w:ascii="Times New Roman" w:hAnsi="Times New Roman"/>
          <w:b w:val="false"/>
          <w:i/>
          <w:color w:val="000000"/>
          <w:sz w:val="22"/>
        </w:rPr>
        <w:t xml:space="preserve">Family counseling. </w:t>
      </w:r>
      <w:r>
        <w:rPr>
          <w:rFonts w:ascii="Times New Roman" w:hAnsi="Times New Roman"/>
          <w:b w:val="false"/>
          <w:i w:val="false"/>
          <w:color w:val="000000"/>
          <w:sz w:val="22"/>
        </w:rPr>
        <w:t>Compensation for family mental health or victim service counseling may be paid only for sessions where the victim is present and the focus of the session is to assist the victim in recovery from a compensable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9.35(7)</w:t>
      </w:r>
      <w:r>
        <w:rPr>
          <w:rFonts w:ascii="Times New Roman" w:hAnsi="Times New Roman"/>
          <w:b w:val="false"/>
          <w:i w:val="false"/>
          <w:color w:val="000000"/>
          <w:sz w:val="22"/>
        </w:rPr>
        <w:t> </w:t>
      </w:r>
      <w:r>
        <w:rPr>
          <w:rFonts w:ascii="Times New Roman" w:hAnsi="Times New Roman"/>
          <w:b w:val="false"/>
          <w:i/>
          <w:color w:val="000000"/>
          <w:sz w:val="22"/>
        </w:rPr>
        <w:t xml:space="preserve">Lost wages or income. </w:t>
      </w:r>
      <w:r>
        <w:rPr>
          <w:rFonts w:ascii="Times New Roman" w:hAnsi="Times New Roman"/>
          <w:b w:val="false"/>
          <w:i w:val="false"/>
          <w:color w:val="000000"/>
          <w:sz w:val="22"/>
        </w:rPr>
        <w:t>Compensation may be paid for reasonable lost wages or income when an eligible crime victim is unable to work as the result of physical or emotional injury from a crime, as a result of cooperation with the investigation or prosecution of the crime, or due to health and safety concerns related to maintaining employment. Lost wages or income due to crime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Gross wage computed. </w:t>
      </w:r>
      <w:r>
        <w:rPr>
          <w:rFonts w:ascii="Times New Roman" w:hAnsi="Times New Roman"/>
          <w:b w:val="false"/>
          <w:i w:val="false"/>
          <w:color w:val="000000"/>
          <w:sz w:val="22"/>
        </w:rPr>
        <w:t xml:space="preserve">Lost wages are computed as the gross rate of pay multiplied by the number of scheduled hours of work missed, decreased by 25 percent pursuant to the definition of “lost wages or income” in rule </w:t>
      </w:r>
      <w:hyperlink r:id="rId48">
        <w:r>
          <w:rPr>
            <w:rStyle w:val="Hyperlink"/>
            <w:rFonts w:ascii="Times New Roman" w:hAnsi="Times New Roman"/>
            <w:b w:val="false"/>
            <w:i w:val="false"/>
            <w:color w:val="000000"/>
            <w:sz w:val="22"/>
          </w:rPr>
          <w:t>61—9.26(915)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Variable income. </w:t>
      </w:r>
      <w:r>
        <w:rPr>
          <w:rFonts w:ascii="Times New Roman" w:hAnsi="Times New Roman"/>
          <w:b w:val="false"/>
          <w:i w:val="false"/>
          <w:color w:val="000000"/>
          <w:sz w:val="22"/>
        </w:rPr>
        <w:t>Income that is variable shall be computed based on the average income earned during a minimum 28-day period within the three months preceding the crime. Estimated earnings not supported by past income statements shall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Self-employment and small business income. </w:t>
      </w:r>
      <w:r>
        <w:rPr>
          <w:rFonts w:ascii="Times New Roman" w:hAnsi="Times New Roman"/>
          <w:b w:val="false"/>
          <w:i w:val="false"/>
          <w:color w:val="000000"/>
          <w:sz w:val="22"/>
        </w:rPr>
        <w:t>Self-employed persons or small business employees must provide federal or state income tax forms for the most recent year completed or verification of average income for a minimum of the past six months. Work estimates, labor contracts, and affidavits from individual employers may be used to establish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Vacation, sick, holiday, bereavement, and annual leave. </w:t>
      </w:r>
      <w:r>
        <w:rPr>
          <w:rFonts w:ascii="Times New Roman" w:hAnsi="Times New Roman"/>
          <w:b w:val="false"/>
          <w:i w:val="false"/>
          <w:color w:val="000000"/>
          <w:sz w:val="22"/>
        </w:rPr>
        <w:t>Lost wages or income paid shall not be reduced by vacation, sick, holiday, bereavement, or annual leave available or used by the victim due to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Calculation when rate of pay cannot be established. </w:t>
      </w:r>
      <w:r>
        <w:rPr>
          <w:rFonts w:ascii="Times New Roman" w:hAnsi="Times New Roman"/>
          <w:b w:val="false"/>
          <w:i w:val="false"/>
          <w:color w:val="000000"/>
          <w:sz w:val="22"/>
        </w:rPr>
        <w:t>In the event employment can be verified but the rate of pay cannot be established through pay stubs, state or federal tax forms, or bank statements, compensation shall be calculated at the current state minimum wage rate on the basis of an eight-hour workday.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9.35(8)</w:t>
      </w:r>
      <w:r>
        <w:rPr>
          <w:rFonts w:ascii="Times New Roman" w:hAnsi="Times New Roman"/>
          <w:b w:val="false"/>
          <w:i w:val="false"/>
          <w:color w:val="000000"/>
          <w:sz w:val="22"/>
        </w:rPr>
        <w:t> </w:t>
      </w:r>
      <w:r>
        <w:rPr>
          <w:rFonts w:ascii="Times New Roman" w:hAnsi="Times New Roman"/>
          <w:b w:val="false"/>
          <w:i/>
          <w:color w:val="000000"/>
          <w:sz w:val="22"/>
        </w:rPr>
        <w:t xml:space="preserve">Lost wages or income as the result of physical or emotional injury from a crime. </w:t>
      </w:r>
      <w:r>
        <w:rPr>
          <w:rFonts w:ascii="Times New Roman" w:hAnsi="Times New Roman"/>
          <w:b w:val="false"/>
          <w:i w:val="false"/>
          <w:color w:val="000000"/>
          <w:sz w:val="22"/>
        </w:rPr>
        <w:t xml:space="preserve">Compensation for lost wages or income incurred within the first two weeks following the crime shall be paid to an eligible crime victim without an authorized disability statement. Compensation for lost wages or income incurred within the first 30 days following the crime may be paid to an eligible survivor of a deceased victim without a disability statement. A victim seeking lost wages for a period of time longer than two weeks, or an eligible survivor seeking lost wages for longer than 30 days under Iowa Code section </w:t>
      </w:r>
      <w:hyperlink r:id="rId49">
        <w:r>
          <w:rPr>
            <w:rStyle w:val="Hyperlink"/>
            <w:rFonts w:ascii="Times New Roman" w:hAnsi="Times New Roman"/>
            <w:b w:val="false"/>
            <w:i w:val="false"/>
            <w:color w:val="000000"/>
            <w:sz w:val="22"/>
          </w:rPr>
          <w:t>915.86(10)</w:t>
        </w:r>
      </w:hyperlink>
      <w:r>
        <w:rPr>
          <w:rFonts w:ascii="Times New Roman" w:hAnsi="Times New Roman"/>
          <w:b w:val="false"/>
          <w:i w:val="false"/>
          <w:color w:val="000000"/>
          <w:sz w:val="22"/>
        </w:rPr>
        <w:t xml:space="preserve">, shall submit a disability statement from a licensed medical provider for a physical injury or an injury related to mental health, or from a licensed mental health provider as included in paragraphs </w:t>
      </w:r>
      <w:hyperlink r:id="rId50">
        <w:r>
          <w:rPr>
            <w:rStyle w:val="Hyperlink"/>
            <w:rFonts w:ascii="Times New Roman" w:hAnsi="Times New Roman"/>
            <w:b w:val="false"/>
            <w:i w:val="false"/>
            <w:color w:val="000000"/>
            <w:sz w:val="22"/>
          </w:rPr>
          <w:t>9.35(3)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for an injury related to mental health. Compensation shall be made for lost wages or income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Lost income. </w:t>
      </w:r>
      <w:r>
        <w:rPr>
          <w:rFonts w:ascii="Times New Roman" w:hAnsi="Times New Roman"/>
          <w:b w:val="false"/>
          <w:i w:val="false"/>
          <w:color w:val="000000"/>
          <w:sz w:val="22"/>
        </w:rPr>
        <w:t>Compensation may be paid when the victim cannot work due to injury from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Lost hire income. </w:t>
      </w:r>
      <w:r>
        <w:rPr>
          <w:rFonts w:ascii="Times New Roman" w:hAnsi="Times New Roman"/>
          <w:b w:val="false"/>
          <w:i w:val="false"/>
          <w:color w:val="000000"/>
          <w:sz w:val="22"/>
        </w:rPr>
        <w:t>Compensation may be paid when the victim has been hired by an employer but is unable to begin employment because of injury due to the crime, until released to work. Required documentation includes a signed affidavit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Employment ceases. </w:t>
      </w:r>
      <w:r>
        <w:rPr>
          <w:rFonts w:ascii="Times New Roman" w:hAnsi="Times New Roman"/>
          <w:b w:val="false"/>
          <w:i w:val="false"/>
          <w:color w:val="000000"/>
          <w:sz w:val="22"/>
        </w:rPr>
        <w:t>Compensation may be paid when the victim is terminated from employment as a result of crime-related injuries, until released to seek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Unemployment eligible. </w:t>
      </w:r>
      <w:r>
        <w:rPr>
          <w:rFonts w:ascii="Times New Roman" w:hAnsi="Times New Roman"/>
          <w:b w:val="false"/>
          <w:i w:val="false"/>
          <w:color w:val="000000"/>
          <w:sz w:val="22"/>
        </w:rPr>
        <w:t>Compensation may be paid for the difference between the victim’s gross wage and the unemployment benefit when the victim is terminated from employment because of injury from crime and is found to be eligible for unemployment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Unemployment ineligibility. </w:t>
      </w:r>
      <w:r>
        <w:rPr>
          <w:rFonts w:ascii="Times New Roman" w:hAnsi="Times New Roman"/>
          <w:b w:val="false"/>
          <w:i w:val="false"/>
          <w:color w:val="000000"/>
          <w:sz w:val="22"/>
        </w:rPr>
        <w:t>Compensation may be paid for the amount of the victim’s unemployment benefit when the victim is rendered ineligible for unemployment benefits because of injury from the crime, until the victim is released to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benefit eligible. </w:t>
      </w:r>
      <w:r>
        <w:rPr>
          <w:rFonts w:ascii="Times New Roman" w:hAnsi="Times New Roman"/>
          <w:b w:val="false"/>
          <w:i w:val="false"/>
          <w:color w:val="000000"/>
          <w:sz w:val="22"/>
        </w:rPr>
        <w:t>Compensation may be paid for the difference between the victim’s gross wage and the workers’ compensation benefit when the victim is unable to work because of injury from the crime and is found to be eligible for workers’ compensation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Medical and counseling appointments. </w:t>
      </w:r>
      <w:r>
        <w:rPr>
          <w:rFonts w:ascii="Times New Roman" w:hAnsi="Times New Roman"/>
          <w:b w:val="false"/>
          <w:i w:val="false"/>
          <w:color w:val="000000"/>
          <w:sz w:val="22"/>
        </w:rPr>
        <w:t>Compensation may be paid to a primary victim, the parent or guardian of a minor-aged primary victim, or the caretaker of a dependent adult primary victim for wages lost due to medical care or counseling appointments for the victim.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9.35(9)</w:t>
      </w:r>
      <w:r>
        <w:rPr>
          <w:rFonts w:ascii="Times New Roman" w:hAnsi="Times New Roman"/>
          <w:b w:val="false"/>
          <w:i w:val="false"/>
          <w:color w:val="000000"/>
          <w:sz w:val="22"/>
        </w:rPr>
        <w:t> </w:t>
      </w:r>
      <w:r>
        <w:rPr>
          <w:rFonts w:ascii="Times New Roman" w:hAnsi="Times New Roman"/>
          <w:b w:val="false"/>
          <w:i/>
          <w:color w:val="000000"/>
          <w:sz w:val="22"/>
        </w:rPr>
        <w:t xml:space="preserve">Lost wages or income for cooperation in an investigation and prosecution. </w:t>
      </w:r>
      <w:r>
        <w:rPr>
          <w:rFonts w:ascii="Times New Roman" w:hAnsi="Times New Roman"/>
          <w:b w:val="false"/>
          <w:i w:val="false"/>
          <w:color w:val="000000"/>
          <w:sz w:val="22"/>
        </w:rPr>
        <w:t xml:space="preserve">Compensation may be paid for lost wages or income incurred by an eligible primary victim, survivor of a deceased victim as described in Iowa Code section </w:t>
      </w:r>
      <w:hyperlink r:id="rId51">
        <w:r>
          <w:rPr>
            <w:rStyle w:val="Hyperlink"/>
            <w:rFonts w:ascii="Times New Roman" w:hAnsi="Times New Roman"/>
            <w:b w:val="false"/>
            <w:i w:val="false"/>
            <w:color w:val="000000"/>
            <w:sz w:val="22"/>
          </w:rPr>
          <w:t>915.86(8),</w:t>
        </w:r>
      </w:hyperlink>
      <w:r>
        <w:rPr>
          <w:rFonts w:ascii="Times New Roman" w:hAnsi="Times New Roman"/>
          <w:b w:val="false"/>
          <w:i w:val="false"/>
          <w:color w:val="000000"/>
          <w:sz w:val="22"/>
        </w:rPr>
        <w:t xml:space="preserve"> parent or guardian of a minor-aged primary victim, or caretaker of a dependent primary victim while cooperating with the investigation and prosecution of the crime, including but not limited to participation at identification sessions, arraignment, deposition, plea agreement meetings, trial, sentencing, parole and probation hearings, and sexually violent predator civil commitment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9.35(10)</w:t>
      </w:r>
      <w:r>
        <w:rPr>
          <w:rFonts w:ascii="Times New Roman" w:hAnsi="Times New Roman"/>
          <w:b w:val="false"/>
          <w:i w:val="false"/>
          <w:color w:val="000000"/>
          <w:sz w:val="22"/>
        </w:rPr>
        <w:t> </w:t>
      </w:r>
      <w:r>
        <w:rPr>
          <w:rFonts w:ascii="Times New Roman" w:hAnsi="Times New Roman"/>
          <w:b w:val="false"/>
          <w:i/>
          <w:color w:val="000000"/>
          <w:sz w:val="22"/>
        </w:rPr>
        <w:t xml:space="preserve">Lost wages or income due to health or safety concerns related to maintaining employment. </w:t>
      </w:r>
      <w:r>
        <w:rPr>
          <w:rFonts w:ascii="Times New Roman" w:hAnsi="Times New Roman"/>
          <w:b w:val="false"/>
          <w:i w:val="false"/>
          <w:color w:val="000000"/>
          <w:sz w:val="22"/>
        </w:rPr>
        <w:t>Compensation for lost wages or income shall be paid to an eligible crime victim for up to 30 days following an event that compromises the health or safety of the victim including but not limited to the approved crime, stalking, or harassment. Compensation for lost wages or income beyond 30 days may be extended at the discretion of the program administrator, the director,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9.35(11)</w:t>
      </w:r>
      <w:r>
        <w:rPr>
          <w:rFonts w:ascii="Times New Roman" w:hAnsi="Times New Roman"/>
          <w:b w:val="false"/>
          <w:i w:val="false"/>
          <w:color w:val="000000"/>
          <w:sz w:val="22"/>
        </w:rPr>
        <w:t> </w:t>
      </w:r>
      <w:r>
        <w:rPr>
          <w:rFonts w:ascii="Times New Roman" w:hAnsi="Times New Roman"/>
          <w:b w:val="false"/>
          <w:i/>
          <w:color w:val="000000"/>
          <w:sz w:val="22"/>
        </w:rPr>
        <w:t xml:space="preserve">Residential crime scene cleanup. </w:t>
      </w:r>
      <w:r>
        <w:rPr>
          <w:rFonts w:ascii="Times New Roman" w:hAnsi="Times New Roman"/>
          <w:b w:val="false"/>
          <w:i w:val="false"/>
          <w:color w:val="000000"/>
          <w:sz w:val="22"/>
        </w:rPr>
        <w:t>Compensation may be paid for the reasonable costs of an eligible victim or applicant for cleaning a residential crime scene, which includes a home, or a private vehicle if the vehicle serves as the primary residence, in which the crime was committed. Cleaning a residential crime scene means to remove, or attempt to remove, from the crime scene blood, dirt, stains, or other debris caused by the crime or the processing of the crime scene. Compensation shall be paid for the reasonable out-of-pocket cost of cleaning supplies, equipment rental and labor and the value of property that is essential to the victim and that is held by law enforcement for evidentiary purposes. Cleaning a residential crime scene does not include replacement or repair of property damaged in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9.35(12)</w:t>
      </w:r>
      <w:r>
        <w:rPr>
          <w:rFonts w:ascii="Times New Roman" w:hAnsi="Times New Roman"/>
          <w:b w:val="false"/>
          <w:i w:val="false"/>
          <w:color w:val="000000"/>
          <w:sz w:val="22"/>
        </w:rPr>
        <w:t> </w:t>
      </w:r>
      <w:r>
        <w:rPr>
          <w:rFonts w:ascii="Times New Roman" w:hAnsi="Times New Roman"/>
          <w:b w:val="false"/>
          <w:i/>
          <w:color w:val="000000"/>
          <w:sz w:val="22"/>
        </w:rPr>
        <w:t xml:space="preserve">Loss of support. </w:t>
      </w:r>
      <w:r>
        <w:rPr>
          <w:rFonts w:ascii="Times New Roman" w:hAnsi="Times New Roman"/>
          <w:b w:val="false"/>
          <w:i w:val="false"/>
          <w:color w:val="000000"/>
          <w:sz w:val="22"/>
        </w:rPr>
        <w:t>Compensation for loss of support may be paid for the dependents of an eligible homicide victim or of a victim disabled for a period of 60 days or more when the applicant documents that the dependent relied on the victim wholly or partially for physical care or financial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dependency. </w:t>
      </w:r>
      <w:r>
        <w:rPr>
          <w:rFonts w:ascii="Times New Roman" w:hAnsi="Times New Roman"/>
          <w:b w:val="false"/>
          <w:i w:val="false"/>
          <w:color w:val="000000"/>
          <w:sz w:val="22"/>
        </w:rPr>
        <w:t xml:space="preserve">Compensation may be paid for loss of support for the remaining period of dependency, up to the limits established in Iowa Code section </w:t>
      </w:r>
      <w:hyperlink r:id="rId52">
        <w:r>
          <w:rPr>
            <w:rStyle w:val="Hyperlink"/>
            <w:rFonts w:ascii="Times New Roman" w:hAnsi="Times New Roman"/>
            <w:b w:val="false"/>
            <w:i w:val="false"/>
            <w:color w:val="000000"/>
            <w:sz w:val="22"/>
          </w:rPr>
          <w:t>915.86(7)</w:t>
        </w:r>
      </w:hyperlink>
      <w:r>
        <w:rPr>
          <w:rFonts w:ascii="Times New Roman" w:hAnsi="Times New Roman"/>
          <w:b w:val="false"/>
          <w:i w:val="false"/>
          <w:color w:val="000000"/>
          <w:sz w:val="22"/>
        </w:rPr>
        <w:t xml:space="preserve">, in an amount equal to the lost wages or income the victim was earning at the time of death or disability. The amount of compensation shall be subject to reduction by the amount of collateral sources designated as support pursuant to Iowa Code section </w:t>
      </w:r>
      <w:hyperlink r:id="rId53">
        <w:r>
          <w:rPr>
            <w:rStyle w:val="Hyperlink"/>
            <w:rFonts w:ascii="Times New Roman" w:hAnsi="Times New Roman"/>
            <w:b w:val="false"/>
            <w:i w:val="false"/>
            <w:color w:val="000000"/>
            <w:sz w:val="22"/>
          </w:rPr>
          <w:t>915.87(1)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Dependent care. </w:t>
      </w:r>
      <w:r>
        <w:rPr>
          <w:rFonts w:ascii="Times New Roman" w:hAnsi="Times New Roman"/>
          <w:b w:val="false"/>
          <w:i w:val="false"/>
          <w:color w:val="000000"/>
          <w:sz w:val="22"/>
        </w:rPr>
        <w:t>Compensation may be paid for loss of support at the current hourly rate of the Iowa minimum wage for dependent care provided by a person other than the victim if the victim was providing physical care to the dependent at the time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9.35(13)</w:t>
      </w:r>
      <w:r>
        <w:rPr>
          <w:rFonts w:ascii="Times New Roman" w:hAnsi="Times New Roman"/>
          <w:b w:val="false"/>
          <w:i w:val="false"/>
          <w:color w:val="000000"/>
          <w:sz w:val="22"/>
        </w:rPr>
        <w:t> </w:t>
      </w:r>
      <w:r>
        <w:rPr>
          <w:rFonts w:ascii="Times New Roman" w:hAnsi="Times New Roman"/>
          <w:b w:val="false"/>
          <w:i/>
          <w:color w:val="000000"/>
          <w:sz w:val="22"/>
        </w:rPr>
        <w:t xml:space="preserve">Clothing and bedding. </w:t>
      </w:r>
      <w:r>
        <w:rPr>
          <w:rFonts w:ascii="Times New Roman" w:hAnsi="Times New Roman"/>
          <w:b w:val="false"/>
          <w:i w:val="false"/>
          <w:color w:val="000000"/>
          <w:sz w:val="22"/>
        </w:rPr>
        <w:t>Compensation may be paid for clothing and bedding held as evidence by law enforcement. Compensation shall not be made for a deceased victim’s clothing that is held as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9.35(14)</w:t>
      </w:r>
      <w:r>
        <w:rPr>
          <w:rFonts w:ascii="Times New Roman" w:hAnsi="Times New Roman"/>
          <w:b w:val="false"/>
          <w:i w:val="false"/>
          <w:color w:val="000000"/>
          <w:sz w:val="22"/>
        </w:rPr>
        <w:t> </w:t>
      </w:r>
      <w:r>
        <w:rPr>
          <w:rFonts w:ascii="Times New Roman" w:hAnsi="Times New Roman"/>
          <w:b w:val="false"/>
          <w:i/>
          <w:color w:val="000000"/>
          <w:sz w:val="22"/>
        </w:rPr>
        <w:t xml:space="preserve">Funeral, burial, and memorial expenses. </w:t>
      </w:r>
      <w:r>
        <w:rPr>
          <w:rFonts w:ascii="Times New Roman" w:hAnsi="Times New Roman"/>
          <w:b w:val="false"/>
          <w:i w:val="false"/>
          <w:color w:val="000000"/>
          <w:sz w:val="22"/>
        </w:rPr>
        <w:t xml:space="preserve">Compensation may be paid for reasonable expenses incurred for the funeral and burial or cremation for an eligible victim who has died as the result of a crime committed against the victim. An estate may be reimbursed for this benefit if the application is filed by the victim’s surviving spouse, children, parents, or siblings or by a person cohabiting with or related by blood or affinity to the victim. This benefit cannot be used if there are no surviving eligible applicants. Life insurance will only be considered a collateral source if there is a specific funeral expense clause in the life insurance policy. The following expenses may be paid up to the maximum expense established in Iowa Code section </w:t>
      </w:r>
      <w:hyperlink r:id="rId54">
        <w:r>
          <w:rPr>
            <w:rStyle w:val="Hyperlink"/>
            <w:rFonts w:ascii="Times New Roman" w:hAnsi="Times New Roman"/>
            <w:b w:val="false"/>
            <w:i w:val="false"/>
            <w:color w:val="000000"/>
            <w:sz w:val="22"/>
          </w:rPr>
          <w:t>915.86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Funeral service. </w:t>
      </w:r>
      <w:r>
        <w:rPr>
          <w:rFonts w:ascii="Times New Roman" w:hAnsi="Times New Roman"/>
          <w:b w:val="false"/>
          <w:i w:val="false"/>
          <w:color w:val="000000"/>
          <w:sz w:val="22"/>
        </w:rPr>
        <w:t>Compensation may be paid for expenses related to funeral and burial or cremation preparation and services. Funeral services may also include a memorial service or items commemorating the deceased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Burial plot and vessel. </w:t>
      </w:r>
      <w:r>
        <w:rPr>
          <w:rFonts w:ascii="Times New Roman" w:hAnsi="Times New Roman"/>
          <w:b w:val="false"/>
          <w:i w:val="false"/>
          <w:color w:val="000000"/>
          <w:sz w:val="22"/>
        </w:rPr>
        <w:t>Compensation may be paid for the cost of a burial plot, vault, casket, urn, or other permissible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Burial effects. </w:t>
      </w:r>
      <w:r>
        <w:rPr>
          <w:rFonts w:ascii="Times New Roman" w:hAnsi="Times New Roman"/>
          <w:b w:val="false"/>
          <w:i w:val="false"/>
          <w:color w:val="000000"/>
          <w:sz w:val="22"/>
        </w:rPr>
        <w:t xml:space="preserve">Compensation may be paid for miscellaneous funeral and burial expenses including, but not limited to, flowers, burial clothing for the victim, transportation of the victim’s body, and travel and lodging expenses for survivors of the deceased victim as described in Iowa Code section </w:t>
      </w:r>
      <w:hyperlink r:id="rId55">
        <w:r>
          <w:rPr>
            <w:rStyle w:val="Hyperlink"/>
            <w:rFonts w:ascii="Times New Roman" w:hAnsi="Times New Roman"/>
            <w:b w:val="false"/>
            <w:i w:val="false"/>
            <w:color w:val="000000"/>
            <w:sz w:val="22"/>
          </w:rPr>
          <w:t>915.86</w:t>
        </w:r>
      </w:hyperlink>
      <w:r>
        <w:rPr>
          <w:rFonts w:ascii="Times New Roman" w:hAnsi="Times New Roman"/>
          <w:b w:val="false"/>
          <w:i w:val="false"/>
          <w:color w:val="000000"/>
          <w:sz w:val="22"/>
        </w:rPr>
        <w:t xml:space="preserve"> with priority for the surviving spouse, children, and parents of the victim. Documentation must be provided for all miscellaneous funeral and burial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9.35(15)</w:t>
      </w:r>
      <w:r>
        <w:rPr>
          <w:rFonts w:ascii="Times New Roman" w:hAnsi="Times New Roman"/>
          <w:b w:val="false"/>
          <w:i w:val="false"/>
          <w:color w:val="000000"/>
          <w:sz w:val="22"/>
        </w:rPr>
        <w:t> </w:t>
      </w:r>
      <w:r>
        <w:rPr>
          <w:rFonts w:ascii="Times New Roman" w:hAnsi="Times New Roman"/>
          <w:b w:val="false"/>
          <w:i/>
          <w:color w:val="000000"/>
          <w:sz w:val="22"/>
        </w:rPr>
        <w:t xml:space="preserve">Dependent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Compensation may be paid for reasonable costs of dependent care incurred by a primary victim, the parent or caretaker of a dependent primary victim, or the survivor of a deceased victim to attend medical or counseling appointments or criminal justice proceedings. Dependent care expenses may be paid for the parent or caretaker of a primary victim to attend the parent’s or caretaker’s own medical or mental health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may include but is not limited to expenses for care provided by a day care center, private residential child care, a relative who is not a tax dependent, a before- or after-school program, custodial elder care, an adult day care center, a nanny, or an au pair. Expenses may be paid up to the maximum benefit established in Iowa Code section </w:t>
      </w:r>
      <w:hyperlink r:id="rId56">
        <w:r>
          <w:rPr>
            <w:rStyle w:val="Hyperlink"/>
            <w:rFonts w:ascii="Times New Roman" w:hAnsi="Times New Roman"/>
            <w:b w:val="false"/>
            <w:i w:val="false"/>
            <w:color w:val="000000"/>
            <w:sz w:val="22"/>
          </w:rPr>
          <w:t>915.86(13)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9.35(16)</w:t>
      </w:r>
      <w:r>
        <w:rPr>
          <w:rFonts w:ascii="Times New Roman" w:hAnsi="Times New Roman"/>
          <w:b w:val="false"/>
          <w:i w:val="false"/>
          <w:color w:val="000000"/>
          <w:sz w:val="22"/>
        </w:rPr>
        <w:t> </w:t>
      </w:r>
      <w:r>
        <w:rPr>
          <w:rFonts w:ascii="Times New Roman" w:hAnsi="Times New Roman"/>
          <w:b w:val="false"/>
          <w:i/>
          <w:color w:val="000000"/>
          <w:sz w:val="22"/>
        </w:rPr>
        <w:t xml:space="preserve">Residential 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may be paid for reasonable costs incurred by a victim, the victim’s parent or caretaker, or the survivor of a deceased victim to install new residential security items, or to replace inadequate or damaged residential security items, not to exceed the maximum expense established in Iowa Code section </w:t>
      </w:r>
      <w:hyperlink r:id="rId57">
        <w:r>
          <w:rPr>
            <w:rStyle w:val="Hyperlink"/>
            <w:rFonts w:ascii="Times New Roman" w:hAnsi="Times New Roman"/>
            <w:b w:val="false"/>
            <w:i w:val="false"/>
            <w:color w:val="000000"/>
            <w:sz w:val="22"/>
          </w:rPr>
          <w:t>915.86(14)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Compensation may be paid for doors, locks, windows, security cameras, security systems or devices, or other reasonable expenses that provide for the safety of the victim or the security of the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9.35(17)</w:t>
      </w:r>
      <w:r>
        <w:rPr>
          <w:rFonts w:ascii="Times New Roman" w:hAnsi="Times New Roman"/>
          <w:b w:val="false"/>
          <w:i w:val="false"/>
          <w:color w:val="000000"/>
          <w:sz w:val="22"/>
        </w:rPr>
        <w:t> </w:t>
      </w:r>
      <w:r>
        <w:rPr>
          <w:rFonts w:ascii="Times New Roman" w:hAnsi="Times New Roman"/>
          <w:b w:val="false"/>
          <w:i/>
          <w:color w:val="000000"/>
          <w:sz w:val="22"/>
        </w:rPr>
        <w:t xml:space="preserve">Transportation and lodging expenses. </w:t>
      </w:r>
      <w:r>
        <w:rPr>
          <w:rFonts w:ascii="Times New Roman" w:hAnsi="Times New Roman"/>
          <w:b w:val="false"/>
          <w:i w:val="false"/>
          <w:color w:val="000000"/>
          <w:sz w:val="22"/>
        </w:rPr>
        <w:t xml:space="preserve">Compensation may be paid for reasonable transportation and lodging expenses incurred by the victim, secondary victim, parent or guardian of the victim, or survivor of a deceased victim for medical and counseling services, criminal justice proceedings, or funeral activities, not to exceed the benefit limit established in Iowa Code section </w:t>
      </w:r>
      <w:hyperlink r:id="rId58">
        <w:r>
          <w:rPr>
            <w:rStyle w:val="Hyperlink"/>
            <w:rFonts w:ascii="Times New Roman" w:hAnsi="Times New Roman"/>
            <w:b w:val="false"/>
            <w:i w:val="false"/>
            <w:color w:val="000000"/>
            <w:sz w:val="22"/>
          </w:rPr>
          <w:t>915.86(15)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of a privately owned vehicle shall be paid at the per-mile rate established by the department of administrative services for state employees using a private vehicle for state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Commercial vehicle transportation shall be paid at the cost incurred by, or on behalf of, an eligible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61—9.36</w:t>
      </w:r>
      <w:r>
        <w:rPr>
          <w:rFonts w:ascii="Times New Roman" w:hAnsi="Times New Roman"/>
          <w:b/>
          <w:i w:val="false"/>
          <w:color w:val="000000"/>
          <w:sz w:val="22"/>
        </w:rPr>
        <w:t xml:space="preserve">(915) </w:t>
      </w:r>
      <w:r>
        <w:rPr>
          <w:rFonts w:ascii="Times New Roman" w:hAnsi="Times New Roman"/>
          <w:b/>
          <w:i w:val="false"/>
          <w:color w:val="000000"/>
          <w:sz w:val="22"/>
        </w:rPr>
        <w:t xml:space="preserve">Appeal of compensation decisions. </w:t>
      </w:r>
      <w:r>
        <w:rPr>
          <w:rFonts w:ascii="Times New Roman" w:hAnsi="Times New Roman"/>
          <w:b w:val="false"/>
          <w:i w:val="false"/>
          <w:color w:val="000000"/>
          <w:sz w:val="22"/>
        </w:rPr>
        <w:t>An applicant shall be informed in writing of the basis for the denial of eligibility or the amount of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9.36(1)</w:t>
      </w:r>
      <w:r>
        <w:rPr>
          <w:rFonts w:ascii="Times New Roman" w:hAnsi="Times New Roman"/>
          <w:b w:val="false"/>
          <w:i w:val="false"/>
          <w:color w:val="000000"/>
          <w:sz w:val="22"/>
        </w:rPr>
        <w:t> </w:t>
      </w:r>
      <w:r>
        <w:rPr>
          <w:rFonts w:ascii="Times New Roman" w:hAnsi="Times New Roman"/>
          <w:b w:val="false"/>
          <w:i/>
          <w:color w:val="000000"/>
          <w:sz w:val="22"/>
        </w:rPr>
        <w:t xml:space="preserve">Applicant appeal. </w:t>
      </w:r>
      <w:r>
        <w:rPr>
          <w:rFonts w:ascii="Times New Roman" w:hAnsi="Times New Roman"/>
          <w:b w:val="false"/>
          <w:i w:val="false"/>
          <w:color w:val="000000"/>
          <w:sz w:val="22"/>
        </w:rPr>
        <w:t>An applicant may appeal a compensation decision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to chief. </w:t>
      </w:r>
      <w:r>
        <w:rPr>
          <w:rFonts w:ascii="Times New Roman" w:hAnsi="Times New Roman"/>
          <w:b w:val="false"/>
          <w:i w:val="false"/>
          <w:color w:val="000000"/>
          <w:sz w:val="22"/>
        </w:rPr>
        <w:t>An applicant aggrieved by a denial decision or the amount of compensation awarded by the program may appeal to the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to board. </w:t>
      </w:r>
      <w:r>
        <w:rPr>
          <w:rFonts w:ascii="Times New Roman" w:hAnsi="Times New Roman"/>
          <w:b w:val="false"/>
          <w:i w:val="false"/>
          <w:color w:val="000000"/>
          <w:sz w:val="22"/>
        </w:rPr>
        <w:t>An applicant may appeal the chief’s decision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to district court. </w:t>
      </w:r>
      <w:r>
        <w:rPr>
          <w:rFonts w:ascii="Times New Roman" w:hAnsi="Times New Roman"/>
          <w:b w:val="false"/>
          <w:i w:val="false"/>
          <w:color w:val="000000"/>
          <w:sz w:val="22"/>
        </w:rPr>
        <w:t>An applicant who disagrees with the decision of the board has the right to appeal to the district court for judicial review within 30 days of receipt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9.36(2)</w:t>
      </w:r>
      <w:r>
        <w:rPr>
          <w:rFonts w:ascii="Times New Roman" w:hAnsi="Times New Roman"/>
          <w:b w:val="false"/>
          <w:i w:val="false"/>
          <w:color w:val="000000"/>
          <w:sz w:val="22"/>
        </w:rPr>
        <w:t> </w:t>
      </w:r>
      <w:r>
        <w:rPr>
          <w:rFonts w:ascii="Times New Roman" w:hAnsi="Times New Roman"/>
          <w:b w:val="false"/>
          <w:i/>
          <w:color w:val="000000"/>
          <w:sz w:val="22"/>
        </w:rPr>
        <w:t xml:space="preserve">Chief appeal period. </w:t>
      </w:r>
      <w:r>
        <w:rPr>
          <w:rFonts w:ascii="Times New Roman" w:hAnsi="Times New Roman"/>
          <w:b w:val="false"/>
          <w:i w:val="false"/>
          <w:color w:val="000000"/>
          <w:sz w:val="22"/>
        </w:rPr>
        <w:t>An applicant shall submit to the chief a written request for reconsideration within 30 days of the date the notice of the crime victim compensation program decision is mailed or otherwise issued by the section. Any request for reconsideration postmarked within the prescribed time period shall be considered timely filed by the section. Barring any unusual circumstances, within 30 days of the receipt of the request for reconsideration, the chief shall issue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9.36(3)</w:t>
      </w:r>
      <w:r>
        <w:rPr>
          <w:rFonts w:ascii="Times New Roman" w:hAnsi="Times New Roman"/>
          <w:b w:val="false"/>
          <w:i w:val="false"/>
          <w:color w:val="000000"/>
          <w:sz w:val="22"/>
        </w:rPr>
        <w:t> </w:t>
      </w:r>
      <w:r>
        <w:rPr>
          <w:rFonts w:ascii="Times New Roman" w:hAnsi="Times New Roman"/>
          <w:b w:val="false"/>
          <w:i/>
          <w:color w:val="000000"/>
          <w:sz w:val="22"/>
        </w:rPr>
        <w:t xml:space="preserve">Board appeal period. </w:t>
      </w:r>
      <w:r>
        <w:rPr>
          <w:rFonts w:ascii="Times New Roman" w:hAnsi="Times New Roman"/>
          <w:b w:val="false"/>
          <w:i w:val="false"/>
          <w:color w:val="000000"/>
          <w:sz w:val="22"/>
        </w:rPr>
        <w:t>An applicant may file with the board a request for consideration of the chief’s decision. This written request for consideration by the board shall be submitted within 30 days of the date the notice of the chief’s decision is mailed or otherwise issued by the chief. Any request for review postmarked within the prescribed time period shall be considered timely filed by the section. Barring any unusual circumstances, within 90 days of the receipt of the request, the board, or a committee designated by the chair of not fewer than five members of the board, shall issue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9.36(4)</w:t>
      </w:r>
      <w:r>
        <w:rPr>
          <w:rFonts w:ascii="Times New Roman" w:hAnsi="Times New Roman"/>
          <w:b w:val="false"/>
          <w:i w:val="false"/>
          <w:color w:val="000000"/>
          <w:sz w:val="22"/>
        </w:rPr>
        <w:t> </w:t>
      </w:r>
      <w:r>
        <w:rPr>
          <w:rFonts w:ascii="Times New Roman" w:hAnsi="Times New Roman"/>
          <w:b w:val="false"/>
          <w:i/>
          <w:color w:val="000000"/>
          <w:sz w:val="22"/>
        </w:rPr>
        <w:t xml:space="preserve">District court appeal period. </w:t>
      </w:r>
      <w:r>
        <w:rPr>
          <w:rFonts w:ascii="Times New Roman" w:hAnsi="Times New Roman"/>
          <w:b w:val="false"/>
          <w:i w:val="false"/>
          <w:color w:val="000000"/>
          <w:sz w:val="22"/>
        </w:rPr>
        <w:t>An applicant shall submit a petition for judicial review to the district court within 30 days of the receipt of the notice of the board’s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61—9.37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from rules. </w:t>
      </w:r>
      <w:r>
        <w:rPr>
          <w:rFonts w:ascii="Times New Roman" w:hAnsi="Times New Roman"/>
          <w:b w:val="false"/>
          <w:i w:val="false"/>
          <w:color w:val="000000"/>
          <w:sz w:val="22"/>
        </w:rPr>
        <w:t>This rule establishes a uniform process for granting waivers from rules adopted by the board governing the crime victim compensation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9.37(1)</w:t>
      </w:r>
      <w:r>
        <w:rPr>
          <w:rFonts w:ascii="Times New Roman" w:hAnsi="Times New Roman"/>
          <w:b w:val="false"/>
          <w:i w:val="false"/>
          <w:color w:val="000000"/>
          <w:sz w:val="22"/>
        </w:rPr>
        <w:t> </w:t>
      </w:r>
      <w:r>
        <w:rPr>
          <w:rFonts w:ascii="Times New Roman" w:hAnsi="Times New Roman"/>
          <w:b w:val="false"/>
          <w:i/>
          <w:color w:val="000000"/>
          <w:sz w:val="22"/>
        </w:rPr>
        <w:t xml:space="preserve">When waiver is appropriate. </w:t>
      </w:r>
      <w:r>
        <w:rPr>
          <w:rFonts w:ascii="Times New Roman" w:hAnsi="Times New Roman"/>
          <w:b w:val="false"/>
          <w:i w:val="false"/>
          <w:color w:val="000000"/>
          <w:sz w:val="22"/>
        </w:rPr>
        <w:t>The board may grant a waiver from a rule the board has adopted if the board has rulemaking authority to promulgate the rule and no statute or rule otherwise controls the granting of a waiver from the rule. No waiver may be granted from a rule that defines a term. No waiver may be granted from a requirement that is imposed by statute. Any waiver must be consistent with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9.37(2)</w:t>
      </w:r>
      <w:r>
        <w:rPr>
          <w:rFonts w:ascii="Times New Roman" w:hAnsi="Times New Roman"/>
          <w:b w:val="false"/>
          <w:i w:val="false"/>
          <w:color w:val="000000"/>
          <w:sz w:val="22"/>
        </w:rPr>
        <w:t> </w:t>
      </w:r>
      <w:r>
        <w:rPr>
          <w:rFonts w:ascii="Times New Roman" w:hAnsi="Times New Roman"/>
          <w:b w:val="false"/>
          <w:i/>
          <w:color w:val="000000"/>
          <w:sz w:val="22"/>
        </w:rPr>
        <w:t xml:space="preserve">Criteria for discretionary waivers. </w:t>
      </w:r>
      <w:r>
        <w:rPr>
          <w:rFonts w:ascii="Times New Roman" w:hAnsi="Times New Roman"/>
          <w:b w:val="false"/>
          <w:i w:val="false"/>
          <w:color w:val="000000"/>
          <w:sz w:val="22"/>
        </w:rPr>
        <w:t>The board may grant a waiver from a rule, in whole or in part, in response to a request from an applicant, as applied to a specific claim, if the board finds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to the claim at issue would result in hardship or injustice to the person seeking compensation;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would be consistent with the public interest, or the public interest will be protected by other means substantially equivalent to full compliance with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waiver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9.37(3)</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decision about whether the circumstances justify the granting of a waiver shall be made at the sole discretion of the board, upon consideration of all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9.37(4)</w:t>
      </w:r>
      <w:r>
        <w:rPr>
          <w:rFonts w:ascii="Times New Roman" w:hAnsi="Times New Roman"/>
          <w:b w:val="false"/>
          <w:i w:val="false"/>
          <w:color w:val="000000"/>
          <w:sz w:val="22"/>
        </w:rPr>
        <w:t> </w:t>
      </w:r>
      <w:r>
        <w:rPr>
          <w:rFonts w:ascii="Times New Roman" w:hAnsi="Times New Roman"/>
          <w:b w:val="false"/>
          <w:i/>
          <w:color w:val="000000"/>
          <w:sz w:val="22"/>
        </w:rPr>
        <w:t xml:space="preserve">Criteria for mandatory waivers. </w:t>
      </w:r>
      <w:r>
        <w:rPr>
          <w:rFonts w:ascii="Times New Roman" w:hAnsi="Times New Roman"/>
          <w:b w:val="false"/>
          <w:i w:val="false"/>
          <w:color w:val="000000"/>
          <w:sz w:val="22"/>
        </w:rPr>
        <w:t>In response to an applicant’s request, the board shall grant a waiver from a rule, in whole or in part, as applied to the particular circumstances, if the board finds that the application of the rule in that specific case would not, to any extent, advance or serve any of the purposes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9.37(5)</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deadlines, the board shall balance the specific individual circumstances of the applicant with the overall goal of uniform treatment of all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9.37(6)</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condition the granting of a waiver on reasonable conditions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9.37(7)</w:t>
      </w:r>
      <w:r>
        <w:rPr>
          <w:rFonts w:ascii="Times New Roman" w:hAnsi="Times New Roman"/>
          <w:b w:val="false"/>
          <w:i w:val="false"/>
          <w:color w:val="000000"/>
          <w:sz w:val="22"/>
        </w:rPr>
        <w:t> </w:t>
      </w:r>
      <w:r>
        <w:rPr>
          <w:rFonts w:ascii="Times New Roman" w:hAnsi="Times New Roman"/>
          <w:b w:val="false"/>
          <w:i/>
          <w:color w:val="000000"/>
          <w:sz w:val="22"/>
        </w:rPr>
        <w:t xml:space="preserve">Public availability of waiver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board decision granting or denying a waiver shall be included in the board minutes with reference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particular case and the rule or portion thereof to which the decision pertains;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relevant facts and reasons upon which the action is based;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provisions of Iowa Code section </w:t>
      </w:r>
      <w:hyperlink r:id="rId5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shall maintain a record of all orders granting and denying waivers under this chapter. All waiver decisions shall be indexed and available to members of the public at the section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9.37(8)</w:t>
      </w:r>
      <w:r>
        <w:rPr>
          <w:rFonts w:ascii="Times New Roman" w:hAnsi="Times New Roman"/>
          <w:b w:val="false"/>
          <w:i w:val="false"/>
          <w:color w:val="000000"/>
          <w:sz w:val="22"/>
        </w:rPr>
        <w:t> </w:t>
      </w:r>
      <w:r>
        <w:rPr>
          <w:rFonts w:ascii="Times New Roman" w:hAnsi="Times New Roman"/>
          <w:b w:val="false"/>
          <w:i/>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board may at any time cancel a waiver upon notice to the victim by regular mail and an opportunity to be heard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facts as stated in the request are not true or material facts have been withheld,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failed to comply with the conditions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9.37(9)</w:t>
      </w:r>
      <w:r>
        <w:rPr>
          <w:rFonts w:ascii="Times New Roman" w:hAnsi="Times New Roman"/>
          <w:b w:val="false"/>
          <w:i w:val="false"/>
          <w:color w:val="000000"/>
          <w:sz w:val="22"/>
        </w:rPr>
        <w:t> </w:t>
      </w:r>
      <w:r>
        <w:rPr>
          <w:rFonts w:ascii="Times New Roman" w:hAnsi="Times New Roman"/>
          <w:b w:val="false"/>
          <w:i/>
          <w:color w:val="000000"/>
          <w:sz w:val="22"/>
        </w:rPr>
        <w:t xml:space="preserve">Effectiveness of waiver. </w:t>
      </w:r>
      <w:r>
        <w:rPr>
          <w:rFonts w:ascii="Times New Roman" w:hAnsi="Times New Roman"/>
          <w:b w:val="false"/>
          <w:i w:val="false"/>
          <w:color w:val="000000"/>
          <w:sz w:val="22"/>
        </w:rPr>
        <w:t>After the board issues a waiver, a person seeking compensation may rely on the terms of that waiver for the purposes of the particular case for which it was issued. A waiver shall only be effective in the case for which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9.37(10)</w:t>
      </w:r>
      <w:r>
        <w:rPr>
          <w:rFonts w:ascii="Times New Roman" w:hAnsi="Times New Roman"/>
          <w:b w:val="false"/>
          <w:i w:val="false"/>
          <w:color w:val="000000"/>
          <w:sz w:val="22"/>
        </w:rPr>
        <w:t> </w:t>
      </w:r>
      <w:r>
        <w:rPr>
          <w:rFonts w:ascii="Times New Roman" w:hAnsi="Times New Roman"/>
          <w:b w:val="false"/>
          <w:i/>
          <w:color w:val="000000"/>
          <w:sz w:val="22"/>
        </w:rPr>
        <w:t xml:space="preserve">Appeals from waiver decisions. </w:t>
      </w:r>
      <w:r>
        <w:rPr>
          <w:rFonts w:ascii="Times New Roman" w:hAnsi="Times New Roman"/>
          <w:b w:val="false"/>
          <w:i w:val="false"/>
          <w:color w:val="000000"/>
          <w:sz w:val="22"/>
        </w:rPr>
        <w:t xml:space="preserve">Any request for an appeal from a decision granting or denying a waiver shall be in accordance with the procedures provided in Iowa Code chapter </w:t>
      </w:r>
      <w:hyperlink r:id="rId6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board’s rules. An appeal shall be taken within 30 days of the issuance of the waiver decision unless a contrary time is provided by rule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61—9.38</w:t>
      </w:r>
      <w:r>
        <w:rPr>
          <w:rFonts w:ascii="Times New Roman" w:hAnsi="Times New Roman"/>
          <w:b w:val="false"/>
          <w:i w:val="false"/>
          <w:color w:val="000000"/>
          <w:sz w:val="22"/>
        </w:rPr>
        <w:t xml:space="preserve"> to </w:t>
      </w:r>
      <w:r>
        <w:rPr>
          <w:rFonts w:ascii="Times New Roman" w:hAnsi="Times New Roman"/>
          <w:b/>
          <w:i w:val="false"/>
          <w:color w:val="000000"/>
          <w:sz w:val="22"/>
        </w:rPr>
        <w:t>9.49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61—9.50</w:t>
      </w:r>
      <w:r>
        <w:rPr>
          <w:rFonts w:ascii="Times New Roman" w:hAnsi="Times New Roman"/>
          <w:b/>
          <w:i w:val="false"/>
          <w:color w:val="000000"/>
          <w:sz w:val="22"/>
        </w:rPr>
        <w:t xml:space="preserve">(13) </w:t>
      </w:r>
      <w:r>
        <w:rPr>
          <w:rFonts w:ascii="Times New Roman" w:hAnsi="Times New Roman"/>
          <w:b/>
          <w:i w:val="false"/>
          <w:color w:val="000000"/>
          <w:sz w:val="22"/>
        </w:rPr>
        <w:t xml:space="preserve">Administration of the victim services support program. </w:t>
      </w:r>
      <w:r>
        <w:rPr>
          <w:rFonts w:ascii="Times New Roman" w:hAnsi="Times New Roman"/>
          <w:b w:val="false"/>
          <w:i w:val="false"/>
          <w:color w:val="000000"/>
          <w:sz w:val="22"/>
        </w:rPr>
        <w:t xml:space="preserve">The victim services support program of the Iowa department of justice shall administer the victim services grant funds as provided in Iowa Code chapters </w:t>
      </w:r>
      <w:hyperlink r:id="rId61">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 All questions, comments, requests for information, or applications for grant funds shall be directed to the victim services support program by calling 515.281.5044 or 1.800.373.5044.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61—9.51</w:t>
      </w:r>
      <w:r>
        <w:rPr>
          <w:rFonts w:ascii="Times New Roman" w:hAnsi="Times New Roman"/>
          <w:b/>
          <w:i w:val="false"/>
          <w:color w:val="000000"/>
          <w:sz w:val="22"/>
        </w:rPr>
        <w:t xml:space="preserve">(13)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rules related to the victim services support program,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local or statewide government agency or a public or private nonprofit program that provides direct services and advocacy to crime victims; training and education to professionals and community agencies on crime-related issues, prevention, or justice support; or technical assistance to crime victim service providers and that makes an application for funds from the victim services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 request that complies with federal and state requirements for funds from the following funding streams: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federal Victims of Crime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state domestic and sexual abuse program funds provided for in Iowa Code chapter </w:t>
      </w:r>
      <w:hyperlink r:id="rId63">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federal Family Violence Prevention and Services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federal Violence Against Women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Other grants or funds available by law for crime victim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review committee” </w:t>
      </w:r>
      <w:r>
        <w:rPr>
          <w:rFonts w:ascii="Times New Roman" w:hAnsi="Times New Roman"/>
          <w:b w:val="false"/>
          <w:i w:val="false"/>
          <w:color w:val="000000"/>
          <w:sz w:val="22"/>
        </w:rPr>
        <w:t>means a committee, convened by the section, to review and assess applications and make funding recommendations to the victim assistance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grant application” </w:t>
      </w:r>
      <w:r>
        <w:rPr>
          <w:rFonts w:ascii="Times New Roman" w:hAnsi="Times New Roman"/>
          <w:b w:val="false"/>
          <w:i w:val="false"/>
          <w:color w:val="000000"/>
          <w:sz w:val="22"/>
        </w:rPr>
        <w:t xml:space="preserve">means an application for funding that the section solicits from eligible applicants and reviews for eligibility and completeness and for which the section convenes the application review committee to recommend grant awards to the board outlined in Iowa Code chapter </w:t>
      </w:r>
      <w:hyperlink r:id="rId64">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“Crime victim center” </w:t>
      </w:r>
      <w:r>
        <w:rPr>
          <w:rFonts w:ascii="Times New Roman" w:hAnsi="Times New Roman"/>
          <w:b w:val="false"/>
          <w:i w:val="false"/>
          <w:color w:val="000000"/>
          <w:sz w:val="22"/>
        </w:rPr>
        <w:t xml:space="preserve">means the same as defined in Iowa Code section </w:t>
      </w:r>
      <w:hyperlink r:id="rId65">
        <w:r>
          <w:rPr>
            <w:rStyle w:val="Hyperlink"/>
            <w:rFonts w:ascii="Times New Roman" w:hAnsi="Times New Roman"/>
            <w:b w:val="false"/>
            <w:i w:val="false"/>
            <w:color w:val="000000"/>
            <w:sz w:val="22"/>
          </w:rPr>
          <w:t>915.20A(1)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“Focus grant application” </w:t>
      </w:r>
      <w:r>
        <w:rPr>
          <w:rFonts w:ascii="Times New Roman" w:hAnsi="Times New Roman"/>
          <w:b w:val="false"/>
          <w:i w:val="false"/>
          <w:color w:val="000000"/>
          <w:sz w:val="22"/>
        </w:rPr>
        <w:t>means the application for a grant for specific activities, including but not limited to training, travel, or materials, that is solicited at the discretion of the section and used in awarding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“Funding stream” </w:t>
      </w:r>
      <w:r>
        <w:rPr>
          <w:rFonts w:ascii="Times New Roman" w:hAnsi="Times New Roman"/>
          <w:b w:val="false"/>
          <w:i w:val="false"/>
          <w:color w:val="000000"/>
          <w:sz w:val="22"/>
        </w:rPr>
        <w:t>means a distinct source of federal or state funding available to the section to distribute to entities eligible to receive such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award” </w:t>
      </w:r>
      <w:r>
        <w:rPr>
          <w:rFonts w:ascii="Times New Roman" w:hAnsi="Times New Roman"/>
          <w:b w:val="false"/>
          <w:i w:val="false"/>
          <w:color w:val="000000"/>
          <w:sz w:val="22"/>
        </w:rPr>
        <w:t>means funds granted to a local or statewide government agency or a public or private nonprofit program by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means a local or statewide government agency or public or private nonprofit program that is awarded or receives funds from the section through a competitive or focus grant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“Justice support” </w:t>
      </w:r>
      <w:r>
        <w:rPr>
          <w:rFonts w:ascii="Times New Roman" w:hAnsi="Times New Roman"/>
          <w:b w:val="false"/>
          <w:i w:val="false"/>
          <w:color w:val="000000"/>
          <w:sz w:val="22"/>
        </w:rPr>
        <w:t>means duties performed in the justice system related to investigation, prosecution, or disposition of a criminal case that assist or inform a victim of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victim services support program of the Iowa department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“Victim” </w:t>
      </w:r>
      <w:r>
        <w:rPr>
          <w:rFonts w:ascii="Times New Roman" w:hAnsi="Times New Roman"/>
          <w:b w:val="false"/>
          <w:i w:val="false"/>
          <w:color w:val="000000"/>
          <w:sz w:val="22"/>
        </w:rPr>
        <w:t xml:space="preserve">means a crime victim as defined in Iowa Code section </w:t>
      </w:r>
      <w:hyperlink r:id="rId66">
        <w:r>
          <w:rPr>
            <w:rStyle w:val="Hyperlink"/>
            <w:rFonts w:ascii="Times New Roman" w:hAnsi="Times New Roman"/>
            <w:b w:val="false"/>
            <w:i w:val="false"/>
            <w:color w:val="000000"/>
            <w:sz w:val="22"/>
          </w:rPr>
          <w:t>915.80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61—9.52</w:t>
      </w:r>
      <w:r>
        <w:rPr>
          <w:rFonts w:ascii="Times New Roman" w:hAnsi="Times New Roman"/>
          <w:b/>
          <w:i w:val="false"/>
          <w:color w:val="000000"/>
          <w:sz w:val="22"/>
        </w:rPr>
        <w:t xml:space="preserve">(13) </w:t>
      </w:r>
      <w:r>
        <w:rPr>
          <w:rFonts w:ascii="Times New Roman" w:hAnsi="Times New Roman"/>
          <w:b/>
          <w:i w:val="false"/>
          <w:color w:val="000000"/>
          <w:sz w:val="22"/>
        </w:rPr>
        <w:t xml:space="preserve">Program description. </w:t>
      </w:r>
      <w:r>
        <w:rPr>
          <w:rFonts w:ascii="Times New Roman" w:hAnsi="Times New Roman"/>
          <w:b w:val="false"/>
          <w:i w:val="false"/>
          <w:color w:val="000000"/>
          <w:sz w:val="22"/>
        </w:rPr>
        <w:t>Any eligible local or statewide government agency, any public or private nonprofit program, or a combination thereof may apply for and receive a grant award through the program. A contractual agreement specifying the terms of the grant award shall be executed between the department and the approved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61—9.53</w:t>
      </w:r>
      <w:r>
        <w:rPr>
          <w:rFonts w:ascii="Times New Roman" w:hAnsi="Times New Roman"/>
          <w:b/>
          <w:i w:val="false"/>
          <w:color w:val="000000"/>
          <w:sz w:val="22"/>
        </w:rPr>
        <w:t xml:space="preserve">(13) </w:t>
      </w:r>
      <w:r>
        <w:rPr>
          <w:rFonts w:ascii="Times New Roman" w:hAnsi="Times New Roman"/>
          <w:b/>
          <w:i w:val="false"/>
          <w:color w:val="000000"/>
          <w:sz w:val="22"/>
        </w:rPr>
        <w:t xml:space="preserve">Availability of grants. </w:t>
      </w:r>
      <w:r>
        <w:rPr>
          <w:rFonts w:ascii="Times New Roman" w:hAnsi="Times New Roman"/>
          <w:b w:val="false"/>
          <w:i w:val="false"/>
          <w:color w:val="000000"/>
          <w:sz w:val="22"/>
        </w:rPr>
        <w:t>The program shall administer a competitive application process every three years unless otherwise directed by the board. The amount of the funds awarded shall be contingent upon the funds available through state and federal sources. The chief shall announce the opening of an application period through public notice, including but not limited to notice to current grantees and other eligible agencies identified by the program. Applications must be received by the designated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9.53(1)</w:t>
      </w:r>
      <w:r>
        <w:rPr>
          <w:rFonts w:ascii="Times New Roman" w:hAnsi="Times New Roman"/>
          <w:b w:val="false"/>
          <w:i w:val="false"/>
          <w:color w:val="000000"/>
          <w:sz w:val="22"/>
        </w:rPr>
        <w:t> </w:t>
      </w:r>
      <w:r>
        <w:rPr>
          <w:rFonts w:ascii="Times New Roman" w:hAnsi="Times New Roman"/>
          <w:b w:val="false"/>
          <w:i w:val="false"/>
          <w:color w:val="000000"/>
          <w:sz w:val="22"/>
        </w:rPr>
        <w:t>Competitive grant applications will be awarded based on the availability of funds, history and demonstration of quality of services provided, compliance with the requirements of the section, number of victims served or other statistical data deemed useful by the program to demonstrate successful and cost-effective use of awarded funds, population served, and geographical distribution of funds across the state. A preference shall be given to continued funding of agencies and programs that have demonstrated success.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9.53(2)</w:t>
      </w:r>
      <w:r>
        <w:rPr>
          <w:rFonts w:ascii="Times New Roman" w:hAnsi="Times New Roman"/>
          <w:b w:val="false"/>
          <w:i w:val="false"/>
          <w:color w:val="000000"/>
          <w:sz w:val="22"/>
        </w:rPr>
        <w:t> </w:t>
      </w:r>
      <w:r>
        <w:rPr>
          <w:rFonts w:ascii="Times New Roman" w:hAnsi="Times New Roman"/>
          <w:b w:val="false"/>
          <w:i w:val="false"/>
          <w:color w:val="000000"/>
          <w:sz w:val="22"/>
        </w:rPr>
        <w:t>Focus grants will be awarded at the discretion of the chief and of the deputy attorney general who oversees the section. Funds utilized for focus grant applications must comply with all applicable state and federal rules and regulations. The award total of focus grant applications from one funding source may not exceed 3 percent of the funds available from the source in one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61—9.54</w:t>
      </w:r>
      <w:r>
        <w:rPr>
          <w:rFonts w:ascii="Times New Roman" w:hAnsi="Times New Roman"/>
          <w:b/>
          <w:i w:val="false"/>
          <w:color w:val="000000"/>
          <w:sz w:val="22"/>
        </w:rPr>
        <w:t xml:space="preserve">(13) </w:t>
      </w:r>
      <w:r>
        <w:rPr>
          <w:rFonts w:ascii="Times New Roman" w:hAnsi="Times New Roman"/>
          <w:b/>
          <w:i w:val="false"/>
          <w:color w:val="000000"/>
          <w:sz w:val="22"/>
        </w:rPr>
        <w:t xml:space="preserve">Application requirements. </w:t>
      </w:r>
      <w:r>
        <w:rPr>
          <w:rFonts w:ascii="Times New Roman" w:hAnsi="Times New Roman"/>
          <w:b w:val="false"/>
          <w:i w:val="false"/>
          <w:color w:val="000000"/>
          <w:sz w:val="22"/>
        </w:rPr>
        <w:t>Applicants shall submit applications to the section in the form and manner prescribed by the section. Applications shall be available upon request to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9.54(1)</w:t>
      </w:r>
      <w:r>
        <w:rPr>
          <w:rFonts w:ascii="Times New Roman" w:hAnsi="Times New Roman"/>
          <w:b w:val="false"/>
          <w:i w:val="false"/>
          <w:color w:val="000000"/>
          <w:sz w:val="22"/>
        </w:rPr>
        <w:t> </w:t>
      </w:r>
      <w:r>
        <w:rPr>
          <w:rFonts w:ascii="Times New Roman" w:hAnsi="Times New Roman"/>
          <w:b w:val="false"/>
          <w:i w:val="false"/>
          <w:color w:val="000000"/>
          <w:sz w:val="22"/>
        </w:rPr>
        <w:t>To be included in the review process and considered for funding, an application shall be received by the section by the designated due date. Applications shall be submitted to the section   in the format prescribed by the section. An extension of the filing deadline may be requested of the victim service support program prior to the deadline and may be granted for good cause. If the victim services support program administrator denies a request for extension, the applicant may file a written appeal to the chief delivered within seven days of the date of denial, stating the reason(s) for reconsideration of the request for extension of the deadline. The determination of a good cause extension by the chief shall be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9.54(2)</w:t>
      </w:r>
      <w:r>
        <w:rPr>
          <w:rFonts w:ascii="Times New Roman" w:hAnsi="Times New Roman"/>
          <w:b w:val="false"/>
          <w:i w:val="false"/>
          <w:color w:val="000000"/>
          <w:sz w:val="22"/>
        </w:rPr>
        <w:t> </w:t>
      </w:r>
      <w:r>
        <w:rPr>
          <w:rFonts w:ascii="Times New Roman" w:hAnsi="Times New Roman"/>
          <w:b w:val="false"/>
          <w:i w:val="false"/>
          <w:color w:val="000000"/>
          <w:sz w:val="22"/>
        </w:rPr>
        <w:t>An applicant shall have on file with the program current copies of the applicant’s table of organization and, for all private nonprofit programs, articles of incorporation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9.54(3)</w:t>
      </w:r>
      <w:r>
        <w:rPr>
          <w:rFonts w:ascii="Times New Roman" w:hAnsi="Times New Roman"/>
          <w:b w:val="false"/>
          <w:i w:val="false"/>
          <w:color w:val="000000"/>
          <w:sz w:val="22"/>
        </w:rPr>
        <w:t> </w:t>
      </w:r>
      <w:r>
        <w:rPr>
          <w:rFonts w:ascii="Times New Roman" w:hAnsi="Times New Roman"/>
          <w:b w:val="false"/>
          <w:i w:val="false"/>
          <w:color w:val="000000"/>
          <w:sz w:val="22"/>
        </w:rPr>
        <w:t>An applicant shall have on file with the program evidence of any insurance coverage the applicant carries for liability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9.54(4)</w:t>
      </w:r>
      <w:r>
        <w:rPr>
          <w:rFonts w:ascii="Times New Roman" w:hAnsi="Times New Roman"/>
          <w:b w:val="false"/>
          <w:i w:val="false"/>
          <w:color w:val="000000"/>
          <w:sz w:val="22"/>
        </w:rPr>
        <w:t> </w:t>
      </w:r>
      <w:r>
        <w:rPr>
          <w:rFonts w:ascii="Times New Roman" w:hAnsi="Times New Roman"/>
          <w:b w:val="false"/>
          <w:i w:val="false"/>
          <w:color w:val="000000"/>
          <w:sz w:val="22"/>
        </w:rPr>
        <w:t>The program may allow combined applications from two or more local or stateside government agencies if a combined application will encourage cooperation between those agencies on behalf of crime victims, as determined by the program. Each agency receiving funds under a combined application shall sign a separate contract for the awarded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61—9.55</w:t>
      </w:r>
      <w:r>
        <w:rPr>
          <w:rFonts w:ascii="Times New Roman" w:hAnsi="Times New Roman"/>
          <w:b/>
          <w:i w:val="false"/>
          <w:color w:val="000000"/>
          <w:sz w:val="22"/>
        </w:rPr>
        <w:t xml:space="preserve">(13) </w:t>
      </w:r>
      <w:r>
        <w:rPr>
          <w:rFonts w:ascii="Times New Roman" w:hAnsi="Times New Roman"/>
          <w:b/>
          <w:i w:val="false"/>
          <w:color w:val="000000"/>
          <w:sz w:val="22"/>
        </w:rPr>
        <w:t xml:space="preserve">Contents of application. </w:t>
      </w:r>
      <w:r>
        <w:rPr>
          <w:rFonts w:ascii="Times New Roman" w:hAnsi="Times New Roman"/>
          <w:b w:val="false"/>
          <w:i w:val="false"/>
          <w:color w:val="000000"/>
          <w:sz w:val="22"/>
        </w:rPr>
        <w:t>Each application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9.55(1)</w:t>
      </w:r>
      <w:r>
        <w:rPr>
          <w:rFonts w:ascii="Times New Roman" w:hAnsi="Times New Roman"/>
          <w:b w:val="false"/>
          <w:i w:val="false"/>
          <w:color w:val="000000"/>
          <w:sz w:val="22"/>
        </w:rPr>
        <w:t> </w:t>
      </w:r>
      <w:r>
        <w:rPr>
          <w:rFonts w:ascii="Times New Roman" w:hAnsi="Times New Roman"/>
          <w:b w:val="false"/>
          <w:i w:val="false"/>
          <w:color w:val="000000"/>
          <w:sz w:val="22"/>
        </w:rPr>
        <w:t>A paragraph describing the agencies, units of government, or public or private nonprofit programs requesting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9.55(2)</w:t>
      </w:r>
      <w:r>
        <w:rPr>
          <w:rFonts w:ascii="Times New Roman" w:hAnsi="Times New Roman"/>
          <w:b w:val="false"/>
          <w:i w:val="false"/>
          <w:color w:val="000000"/>
          <w:sz w:val="22"/>
        </w:rPr>
        <w:t> </w:t>
      </w:r>
      <w:r>
        <w:rPr>
          <w:rFonts w:ascii="Times New Roman" w:hAnsi="Times New Roman"/>
          <w:b w:val="false"/>
          <w:i w:val="false"/>
          <w:color w:val="000000"/>
          <w:sz w:val="22"/>
        </w:rPr>
        <w:t>A description of services for which funding is being requested. The description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geographical area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crime victim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Victim eligibility requirements for the applicant’s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substantial financial support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intended use of volunteers,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stated goals and objectives or measurable activities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services to be implemented during the funding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amount of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amount of cash or in-kind resources or combination thereof that is committed where required by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Proof of coordination with appropriate agencies at the local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total program budget for all services provided by the applicant’s crime victim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proposed budget for the requested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list of other anticipated sources of income, including written commitments, if possible, and plans for continued funding of the funded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Other information identified by the section to be included in the application to assist the application review committee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Signed certified assurances as required by statute or regulation or otherwise designated by the section.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61—9.56</w:t>
      </w:r>
      <w:r>
        <w:rPr>
          <w:rFonts w:ascii="Times New Roman" w:hAnsi="Times New Roman"/>
          <w:b/>
          <w:i w:val="false"/>
          <w:color w:val="000000"/>
          <w:sz w:val="22"/>
        </w:rPr>
        <w:t xml:space="preserve">(13)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Funds must be used only to provide victim services, justice support to victims of crime, training, community education, crime prevention, or technical assistance to victim service providers and allied professionals. Awarded funds shall not be used to supplant other available or mandated funds. An applicant must meet the following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be a local or statewide agency, a public or private nonprofit organization, or combination thereof, as stated in rule </w:t>
      </w:r>
      <w:hyperlink r:id="rId67">
        <w:r>
          <w:rPr>
            <w:rStyle w:val="Hyperlink"/>
            <w:rFonts w:ascii="Times New Roman" w:hAnsi="Times New Roman"/>
            <w:b w:val="false"/>
            <w:i w:val="false"/>
            <w:color w:val="000000"/>
            <w:sz w:val="22"/>
          </w:rPr>
          <w:t>61—9.51</w:t>
        </w:r>
      </w:hyperlink>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9.56(2)</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services to victims of crime through crime victim centers, law enforcement agencies, prosecution offices, state or local agencies, culturally specific service organizations, faith-based programs, and other allied professionals. Services provided to victims shall include but are not limited to crisis intervention, civil and criminal court advocacy and support, group and individual follow-up counseling, transportation, and information and referral. Applicants may contact the program at 515.281.5044 or 1.800.373.5044 for additional services that qualify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9.56(3)</w:t>
      </w:r>
      <w:r>
        <w:rPr>
          <w:rFonts w:ascii="Times New Roman" w:hAnsi="Times New Roman"/>
          <w:b w:val="false"/>
          <w:i w:val="false"/>
          <w:color w:val="000000"/>
          <w:sz w:val="22"/>
        </w:rPr>
        <w:t> </w:t>
      </w:r>
      <w:r>
        <w:rPr>
          <w:rFonts w:ascii="Times New Roman" w:hAnsi="Times New Roman"/>
          <w:b w:val="false"/>
          <w:i w:val="false"/>
          <w:color w:val="000000"/>
          <w:sz w:val="22"/>
        </w:rPr>
        <w:t>An applicant providing services to victims of domestic abuse, sexual abuse, and other violent crimes must also provide or arrange safe shelter or housing for victims and their children when needed at no cost to the victims. To ensure staff training and compliance with best practice standards, preference will be given to domestic abuse programs certified by the Iowa coalition against domestic violence and sexual abuse programs certified by the Iowa coalition against sexual assault.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9.56(4)</w:t>
      </w:r>
      <w:r>
        <w:rPr>
          <w:rFonts w:ascii="Times New Roman" w:hAnsi="Times New Roman"/>
          <w:b w:val="false"/>
          <w:i w:val="false"/>
          <w:color w:val="000000"/>
          <w:sz w:val="22"/>
        </w:rPr>
        <w:t> </w:t>
      </w:r>
      <w:r>
        <w:rPr>
          <w:rFonts w:ascii="Times New Roman" w:hAnsi="Times New Roman"/>
          <w:b w:val="false"/>
          <w:i w:val="false"/>
          <w:color w:val="000000"/>
          <w:sz w:val="22"/>
        </w:rPr>
        <w:t>An applicant providing services to victims of sexual abuse must also provide support to victims at the time of an evidentiary sexual abuse examination. To ensure staff training and compliance with best practice standards, preference will be given to sexual abuse programs certified by the Iowa coalition against sexual assault.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9.56(5)</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promote within the community a coordinated public and private effort to assist crime victims.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9.56(6)</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an equal-opportunity employer and provide services on an equal-opportunity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9.56(7)</w:t>
      </w:r>
      <w:r>
        <w:rPr>
          <w:rFonts w:ascii="Times New Roman" w:hAnsi="Times New Roman"/>
          <w:b w:val="false"/>
          <w:i w:val="false"/>
          <w:color w:val="000000"/>
          <w:sz w:val="22"/>
        </w:rPr>
        <w:t> </w:t>
      </w:r>
      <w:r>
        <w:rPr>
          <w:rFonts w:ascii="Times New Roman" w:hAnsi="Times New Roman"/>
          <w:b w:val="false"/>
          <w:i w:val="false"/>
          <w:color w:val="000000"/>
          <w:sz w:val="22"/>
        </w:rPr>
        <w:t>The applicant shall comply with applicable federal and state statutes and rules, all requirements specified in the grant between the section and any funding source, and all requirements set forth in the funding application or any other contractual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9.56(8)</w:t>
      </w:r>
      <w:r>
        <w:rPr>
          <w:rFonts w:ascii="Times New Roman" w:hAnsi="Times New Roman"/>
          <w:b w:val="false"/>
          <w:i w:val="false"/>
          <w:color w:val="000000"/>
          <w:sz w:val="22"/>
        </w:rPr>
        <w:t> </w:t>
      </w:r>
      <w:r>
        <w:rPr>
          <w:rFonts w:ascii="Times New Roman" w:hAnsi="Times New Roman"/>
          <w:b w:val="false"/>
          <w:i w:val="false"/>
          <w:color w:val="000000"/>
          <w:sz w:val="22"/>
        </w:rPr>
        <w:t>The applicant shall assist victims in seeking state crime victim compensation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9.56(9)</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a grievance procedure established for victims, employees,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ensure that all employees and volunteers of crime victim centers providing direct services to victims are trained as victim counselors as defined in Iowa Code section </w:t>
      </w:r>
      <w:hyperlink r:id="rId68">
        <w:r>
          <w:rPr>
            <w:rStyle w:val="Hyperlink"/>
            <w:rFonts w:ascii="Times New Roman" w:hAnsi="Times New Roman"/>
            <w:b w:val="false"/>
            <w:i w:val="false"/>
            <w:color w:val="000000"/>
            <w:sz w:val="22"/>
          </w:rPr>
          <w:t>915.20A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9.56(11)</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services within the geographical service area without regard to a victim’s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9.56(12)</w:t>
      </w:r>
      <w:r>
        <w:rPr>
          <w:rFonts w:ascii="Times New Roman" w:hAnsi="Times New Roman"/>
          <w:b w:val="false"/>
          <w:i w:val="false"/>
          <w:color w:val="000000"/>
          <w:sz w:val="22"/>
        </w:rPr>
        <w:t> </w:t>
      </w:r>
      <w:r>
        <w:rPr>
          <w:rFonts w:ascii="Times New Roman" w:hAnsi="Times New Roman"/>
          <w:b w:val="false"/>
          <w:i w:val="false"/>
          <w:color w:val="000000"/>
          <w:sz w:val="22"/>
        </w:rPr>
        <w:t>An existing program must document results of prior program activities demonstrating that the needs of victims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61—9.57</w:t>
      </w:r>
      <w:r>
        <w:rPr>
          <w:rFonts w:ascii="Times New Roman" w:hAnsi="Times New Roman"/>
          <w:b/>
          <w:i w:val="false"/>
          <w:color w:val="000000"/>
          <w:sz w:val="22"/>
        </w:rPr>
        <w:t xml:space="preserve">(13) </w:t>
      </w:r>
      <w:r>
        <w:rPr>
          <w:rFonts w:ascii="Times New Roman" w:hAnsi="Times New Roman"/>
          <w:b/>
          <w:i w:val="false"/>
          <w:color w:val="000000"/>
          <w:sz w:val="22"/>
        </w:rPr>
        <w:t xml:space="preserve">Selection process. </w:t>
      </w:r>
      <w:r>
        <w:rPr>
          <w:rFonts w:ascii="Times New Roman" w:hAnsi="Times New Roman"/>
          <w:b w:val="false"/>
          <w:i w:val="false"/>
          <w:color w:val="000000"/>
          <w:sz w:val="22"/>
        </w:rPr>
        <w:t>The program shall conduct a preliminary review of each application to ensure that the applicant is eligible, the application is complete, and the proposed services are consistent with the section’s mission of providing quality assistance to crime victims and crime victim programs throughout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9.57(1)</w:t>
      </w:r>
      <w:r>
        <w:rPr>
          <w:rFonts w:ascii="Times New Roman" w:hAnsi="Times New Roman"/>
          <w:b w:val="false"/>
          <w:i w:val="false"/>
          <w:color w:val="000000"/>
          <w:sz w:val="22"/>
        </w:rPr>
        <w:t> </w:t>
      </w:r>
      <w:r>
        <w:rPr>
          <w:rFonts w:ascii="Times New Roman" w:hAnsi="Times New Roman"/>
          <w:b w:val="false"/>
          <w:i w:val="false"/>
          <w:color w:val="000000"/>
          <w:sz w:val="22"/>
        </w:rPr>
        <w:t>In selection of competitive applicants, the program may utilize generally accepted methods of grant review, including but not limited to checklists; quality scales; written comments by application review committee members; and formulas based on past funding, population, clients served and available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9.57(2)</w:t>
      </w:r>
      <w:r>
        <w:rPr>
          <w:rFonts w:ascii="Times New Roman" w:hAnsi="Times New Roman"/>
          <w:b w:val="false"/>
          <w:i w:val="false"/>
          <w:color w:val="000000"/>
          <w:sz w:val="22"/>
        </w:rPr>
        <w:t> </w:t>
      </w:r>
      <w:r>
        <w:rPr>
          <w:rFonts w:ascii="Times New Roman" w:hAnsi="Times New Roman"/>
          <w:b w:val="false"/>
          <w:i w:val="false"/>
          <w:color w:val="000000"/>
          <w:sz w:val="22"/>
        </w:rPr>
        <w:t>In selection of competitive applications, the program shall establish an application review committee. The committee shall submit recommendations for funding awards to the chief. The chief shall submit to the board the recommendations of the application review committee and any alternative recommendations by the program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review committee shall be comprised of representatives from the victim assistance board and experts in the fields of victim services, funding administration and management, and criminal justice. Committee members shall be selected solely by section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the committee with information related to an applicant’s performance with previous awards, the quality and quantity of services provided, and community support for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shall review the contents of the applications and information provided by the section and members of the committee regarding an applicant and the geographical area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9.57(3)</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the recommendations of the application review committee and the chief to determine final competitive awards to the extent that funds are available and to the extent to which applications meet the application criteria. The board may reject any or all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9.57(4)</w:t>
      </w:r>
      <w:r>
        <w:rPr>
          <w:rFonts w:ascii="Times New Roman" w:hAnsi="Times New Roman"/>
          <w:b w:val="false"/>
          <w:i w:val="false"/>
          <w:color w:val="000000"/>
          <w:sz w:val="22"/>
        </w:rPr>
        <w:t> </w:t>
      </w:r>
      <w:r>
        <w:rPr>
          <w:rFonts w:ascii="Times New Roman" w:hAnsi="Times New Roman"/>
          <w:b w:val="false"/>
          <w:i w:val="false"/>
          <w:color w:val="000000"/>
          <w:sz w:val="22"/>
        </w:rPr>
        <w:t>In selection of an applicant for a focus grant, a written proposal shall be solicited from current grantees. Interested grantees shall submit a proposal to the chief outlining the purpose, cost, and outcome of the proposed activities and funds. The chief shall submit a recommendation to the deputy attorney general for criminal justice who oversees the section, and the deputy attorney general shall make a final decision based on the availability of funds and the merits of the proposal.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61—9.58</w:t>
      </w:r>
      <w:r>
        <w:rPr>
          <w:rFonts w:ascii="Times New Roman" w:hAnsi="Times New Roman"/>
          <w:b/>
          <w:i w:val="false"/>
          <w:color w:val="000000"/>
          <w:sz w:val="22"/>
        </w:rPr>
        <w:t xml:space="preserve">(13) </w:t>
      </w:r>
      <w:r>
        <w:rPr>
          <w:rFonts w:ascii="Times New Roman" w:hAnsi="Times New Roman"/>
          <w:b/>
          <w:i w:val="false"/>
          <w:color w:val="000000"/>
          <w:sz w:val="22"/>
        </w:rPr>
        <w:t xml:space="preserve">Notification of applicants. </w:t>
      </w:r>
      <w:r>
        <w:rPr>
          <w:rFonts w:ascii="Times New Roman" w:hAnsi="Times New Roman"/>
          <w:b w:val="false"/>
          <w:i w:val="false"/>
          <w:color w:val="000000"/>
          <w:sz w:val="22"/>
        </w:rPr>
        <w:t>An applicant shall be notified within 90 days after the application due date whether the application has been denied or approved by the board and the amount of funds approved for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61—9.59</w:t>
      </w:r>
      <w:r>
        <w:rPr>
          <w:rFonts w:ascii="Times New Roman" w:hAnsi="Times New Roman"/>
          <w:b/>
          <w:i w:val="false"/>
          <w:color w:val="000000"/>
          <w:sz w:val="22"/>
        </w:rPr>
        <w:t xml:space="preserve">(13) </w:t>
      </w:r>
      <w:r>
        <w:rPr>
          <w:rFonts w:ascii="Times New Roman" w:hAnsi="Times New Roman"/>
          <w:b/>
          <w:i w:val="false"/>
          <w:color w:val="000000"/>
          <w:sz w:val="22"/>
        </w:rPr>
        <w:t xml:space="preserve">Request for 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9.59(1)</w:t>
      </w:r>
      <w:r>
        <w:rPr>
          <w:rFonts w:ascii="Times New Roman" w:hAnsi="Times New Roman"/>
          <w:b w:val="false"/>
          <w:i w:val="false"/>
          <w:color w:val="000000"/>
          <w:sz w:val="22"/>
        </w:rPr>
        <w:t> </w:t>
      </w:r>
      <w:r>
        <w:rPr>
          <w:rFonts w:ascii="Times New Roman" w:hAnsi="Times New Roman"/>
          <w:b w:val="false"/>
          <w:i w:val="false"/>
          <w:color w:val="000000"/>
          <w:sz w:val="22"/>
        </w:rPr>
        <w:t>An applicant may file with the board a request for reconsideration of the denial of an application or of the amount of an award. The request for reconsideration must be submitted within ten working days of the date the notice of decision is mailed or otherwise issued by the section to the applicant. The request must be in writing and state grounds for reconsideration. The grounds for reconsideration the board shall consider are limited to the following: victim assistance misconduct, ineffective review processes, disparities in funding, or miscalculation of funding amounts. The appeals process is not an opportunity to resubmit an application or to provide additional information for consideration. The board or a committee designated by the board chairperson shall review the request in a timely manner. A decision of the board or designated committee shall constitute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9.59(2)</w:t>
      </w:r>
      <w:r>
        <w:rPr>
          <w:rFonts w:ascii="Times New Roman" w:hAnsi="Times New Roman"/>
          <w:b w:val="false"/>
          <w:i w:val="false"/>
          <w:color w:val="000000"/>
          <w:sz w:val="22"/>
        </w:rPr>
        <w:t> </w:t>
      </w:r>
      <w:r>
        <w:rPr>
          <w:rFonts w:ascii="Times New Roman" w:hAnsi="Times New Roman"/>
          <w:b w:val="false"/>
          <w:i w:val="false"/>
          <w:color w:val="000000"/>
          <w:sz w:val="22"/>
        </w:rPr>
        <w:t>At the time a request for reconsideration is received by the chief, notice that a request for reconsideration has been filed shall be sent to all approved applicants whose funds may be affected by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9.59(3)</w:t>
      </w:r>
      <w:r>
        <w:rPr>
          <w:rFonts w:ascii="Times New Roman" w:hAnsi="Times New Roman"/>
          <w:b w:val="false"/>
          <w:i w:val="false"/>
          <w:color w:val="000000"/>
          <w:sz w:val="22"/>
        </w:rPr>
        <w:t> </w:t>
      </w:r>
      <w:r>
        <w:rPr>
          <w:rFonts w:ascii="Times New Roman" w:hAnsi="Times New Roman"/>
          <w:b w:val="false"/>
          <w:i w:val="false"/>
          <w:color w:val="000000"/>
          <w:sz w:val="22"/>
        </w:rPr>
        <w:t>Funds shall not be disbursed pending a request for reconsideration to the extent the funds are affected by the outcome of the request. Every applicant that would be adversely affected shall be notified if a request for reconsideration is approved, and grant awards shall be reduced as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61—9.60</w:t>
      </w:r>
      <w:r>
        <w:rPr>
          <w:rFonts w:ascii="Times New Roman" w:hAnsi="Times New Roman"/>
          <w:b/>
          <w:i w:val="false"/>
          <w:color w:val="000000"/>
          <w:sz w:val="22"/>
        </w:rPr>
        <w:t xml:space="preserve">(13) </w:t>
      </w:r>
      <w:r>
        <w:rPr>
          <w:rFonts w:ascii="Times New Roman" w:hAnsi="Times New Roman"/>
          <w:b/>
          <w:i w:val="false"/>
          <w:color w:val="000000"/>
          <w:sz w:val="22"/>
        </w:rPr>
        <w:t xml:space="preserve">Contract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9.60(1)</w:t>
      </w:r>
      <w:r>
        <w:rPr>
          <w:rFonts w:ascii="Times New Roman" w:hAnsi="Times New Roman"/>
          <w:b w:val="false"/>
          <w:i w:val="false"/>
          <w:color w:val="000000"/>
          <w:sz w:val="22"/>
        </w:rPr>
        <w:t> </w:t>
      </w:r>
      <w:r>
        <w:rPr>
          <w:rFonts w:ascii="Times New Roman" w:hAnsi="Times New Roman"/>
          <w:b w:val="false"/>
          <w:i w:val="false"/>
          <w:color w:val="000000"/>
          <w:sz w:val="22"/>
        </w:rPr>
        <w:t>A contract shall be negotiated by the section and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9.60(2)</w:t>
      </w:r>
      <w:r>
        <w:rPr>
          <w:rFonts w:ascii="Times New Roman" w:hAnsi="Times New Roman"/>
          <w:b w:val="false"/>
          <w:i w:val="false"/>
          <w:color w:val="000000"/>
          <w:sz w:val="22"/>
        </w:rPr>
        <w:t> </w:t>
      </w:r>
      <w:r>
        <w:rPr>
          <w:rFonts w:ascii="Times New Roman" w:hAnsi="Times New Roman"/>
          <w:b w:val="false"/>
          <w:i w:val="false"/>
          <w:color w:val="000000"/>
          <w:sz w:val="22"/>
        </w:rPr>
        <w:t>Prior to entering into a contract, the section or the board may require modification of the proposed program, submission of further information or documentation, or other stipulation by the applicant. The required modification, information, documentation, or stipulation shall be specified in the notification of award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9.60(3)</w:t>
      </w:r>
      <w:r>
        <w:rPr>
          <w:rFonts w:ascii="Times New Roman" w:hAnsi="Times New Roman"/>
          <w:b w:val="false"/>
          <w:i w:val="false"/>
          <w:color w:val="000000"/>
          <w:sz w:val="22"/>
        </w:rPr>
        <w:t> </w:t>
      </w:r>
      <w:r>
        <w:rPr>
          <w:rFonts w:ascii="Times New Roman" w:hAnsi="Times New Roman"/>
          <w:b w:val="false"/>
          <w:i w:val="false"/>
          <w:color w:val="000000"/>
          <w:sz w:val="22"/>
        </w:rPr>
        <w:t>The applicant or the section may request a modification of the program budget to reflect the amount, expenses and activities allowed by the award. Both parties must agree to any modification of the applicant budget.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9.60(4)</w:t>
      </w:r>
      <w:r>
        <w:rPr>
          <w:rFonts w:ascii="Times New Roman" w:hAnsi="Times New Roman"/>
          <w:b w:val="false"/>
          <w:i w:val="false"/>
          <w:color w:val="000000"/>
          <w:sz w:val="22"/>
        </w:rPr>
        <w:t> </w:t>
      </w:r>
      <w:r>
        <w:rPr>
          <w:rFonts w:ascii="Times New Roman" w:hAnsi="Times New Roman"/>
          <w:b w:val="false"/>
          <w:i w:val="false"/>
          <w:color w:val="000000"/>
          <w:sz w:val="22"/>
        </w:rPr>
        <w:t>In the event of a state, federal, or other audit, the grantee shall be responsible for the audit and liable for payment of any funds required to conduct the audit, to compensate for any grant disallowance, or to repay any funds received or spent contrary to the contract, these rules, or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9.60(5)</w:t>
      </w:r>
      <w:r>
        <w:rPr>
          <w:rFonts w:ascii="Times New Roman" w:hAnsi="Times New Roman"/>
          <w:b w:val="false"/>
          <w:i w:val="false"/>
          <w:color w:val="000000"/>
          <w:sz w:val="22"/>
        </w:rPr>
        <w:t> </w:t>
      </w:r>
      <w:r>
        <w:rPr>
          <w:rFonts w:ascii="Times New Roman" w:hAnsi="Times New Roman"/>
          <w:b w:val="false"/>
          <w:i w:val="false"/>
          <w:color w:val="000000"/>
          <w:sz w:val="22"/>
        </w:rPr>
        <w:t>Funds shall be spent to meet the stated services and activities as provided in the contract. Expenditures shall be reimbursed pursuant to regular reimbursement procedures of the state of Iowa in the form and manner as designated by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9.60(6)</w:t>
      </w:r>
      <w:r>
        <w:rPr>
          <w:rFonts w:ascii="Times New Roman" w:hAnsi="Times New Roman"/>
          <w:b w:val="false"/>
          <w:i w:val="false"/>
          <w:color w:val="000000"/>
          <w:sz w:val="22"/>
        </w:rPr>
        <w:t> </w:t>
      </w:r>
      <w:r>
        <w:rPr>
          <w:rFonts w:ascii="Times New Roman" w:hAnsi="Times New Roman"/>
          <w:b w:val="false"/>
          <w:i w:val="false"/>
          <w:color w:val="000000"/>
          <w:sz w:val="22"/>
        </w:rPr>
        <w:t>The grantee shall sign the certified assurances for the award at the time of application and at any time requested by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9.60(7)</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shall be construed as limiting the remedies available to the state or the section for improper use of awarded funds or other breach of the grantee’s duties under the contract and applicable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61—9.61</w:t>
      </w:r>
      <w:r>
        <w:rPr>
          <w:rFonts w:ascii="Times New Roman" w:hAnsi="Times New Roman"/>
          <w:b/>
          <w:i w:val="false"/>
          <w:color w:val="000000"/>
          <w:sz w:val="22"/>
        </w:rPr>
        <w:t xml:space="preserve">(13) </w:t>
      </w:r>
      <w:r>
        <w:rPr>
          <w:rFonts w:ascii="Times New Roman" w:hAnsi="Times New Roman"/>
          <w:b/>
          <w:i w:val="false"/>
          <w:color w:val="000000"/>
          <w:sz w:val="22"/>
        </w:rPr>
        <w:t xml:space="preserve">Performance reports. </w:t>
      </w:r>
      <w:r>
        <w:rPr>
          <w:rFonts w:ascii="Times New Roman" w:hAnsi="Times New Roman"/>
          <w:b w:val="false"/>
          <w:i w:val="false"/>
          <w:color w:val="000000"/>
          <w:sz w:val="22"/>
        </w:rPr>
        <w:t>Performance reports shall be submitted to the program from all grantees. Failure to submit reports by the due date shall result in suspension of financial payments to the grantee by the program until such time as the report is received. Delinquent or inadequate reports from prior grants may detrimentally affect any award to a grantee for the following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61—9.62</w:t>
      </w:r>
      <w:r>
        <w:rPr>
          <w:rFonts w:ascii="Times New Roman" w:hAnsi="Times New Roman"/>
          <w:b/>
          <w:i w:val="false"/>
          <w:color w:val="000000"/>
          <w:sz w:val="22"/>
        </w:rPr>
        <w:t xml:space="preserve">(13) </w:t>
      </w:r>
      <w:r>
        <w:rPr>
          <w:rFonts w:ascii="Times New Roman" w:hAnsi="Times New Roman"/>
          <w:b/>
          <w:i w:val="false"/>
          <w:color w:val="000000"/>
          <w:sz w:val="22"/>
        </w:rPr>
        <w:t xml:space="preserve">Termination. </w:t>
      </w:r>
      <w:r>
        <w:rPr>
          <w:rFonts w:ascii="Times New Roman" w:hAnsi="Times New Roman"/>
          <w:b w:val="false"/>
          <w:i w:val="false"/>
          <w:color w:val="000000"/>
          <w:sz w:val="22"/>
        </w:rPr>
        <w:t>Contracts may be terminated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9.62(1)</w:t>
      </w:r>
      <w:r>
        <w:rPr>
          <w:rFonts w:ascii="Times New Roman" w:hAnsi="Times New Roman"/>
          <w:b w:val="false"/>
          <w:i w:val="false"/>
          <w:color w:val="000000"/>
          <w:sz w:val="22"/>
        </w:rPr>
        <w:t> </w:t>
      </w:r>
      <w:r>
        <w:rPr>
          <w:rFonts w:ascii="Times New Roman" w:hAnsi="Times New Roman"/>
          <w:b w:val="false"/>
          <w:i/>
          <w:color w:val="000000"/>
          <w:sz w:val="22"/>
        </w:rPr>
        <w:t xml:space="preserve">Termination by grantee. </w:t>
      </w:r>
      <w:r>
        <w:rPr>
          <w:rFonts w:ascii="Times New Roman" w:hAnsi="Times New Roman"/>
          <w:b w:val="false"/>
          <w:i w:val="false"/>
          <w:color w:val="000000"/>
          <w:sz w:val="22"/>
        </w:rPr>
        <w:t>The grantee may terminate the contract at any time during the contract period by providing written notice to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w:t>
      </w:r>
      <w:r>
        <w:rPr>
          <w:rFonts w:ascii="Times New Roman" w:hAnsi="Times New Roman"/>
          <w:b w:val="false"/>
          <w:i w:val="false"/>
          <w:color w:val="000000"/>
          <w:sz w:val="22"/>
        </w:rPr>
        <w:t> </w:t>
      </w:r>
      <w:r>
        <w:rPr>
          <w:rFonts w:ascii="Times New Roman" w:hAnsi="Times New Roman"/>
          <w:b w:val="false"/>
          <w:i/>
          <w:color w:val="000000"/>
          <w:sz w:val="22"/>
        </w:rPr>
        <w:t xml:space="preserve">Termination by department. </w:t>
      </w:r>
      <w:r>
        <w:rPr>
          <w:rFonts w:ascii="Times New Roman" w:hAnsi="Times New Roman"/>
          <w:b w:val="false"/>
          <w:i w:val="false"/>
          <w:color w:val="000000"/>
          <w:sz w:val="22"/>
        </w:rPr>
        <w:t>The section may terminate a contract upon a ten-day written notice when the grantee or any of its subcontractors fail to comply with the grant award stipulations, standards, or conditions. When there is a reduction of funds by executive order or by another method, the section may terminate a contract by providing a grantee with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w:t>
      </w:r>
      <w:r>
        <w:rPr>
          <w:rFonts w:ascii="Times New Roman" w:hAnsi="Times New Roman"/>
          <w:b w:val="false"/>
          <w:i w:val="false"/>
          <w:color w:val="000000"/>
          <w:sz w:val="22"/>
        </w:rPr>
        <w:t> </w:t>
      </w:r>
      <w:r>
        <w:rPr>
          <w:rFonts w:ascii="Times New Roman" w:hAnsi="Times New Roman"/>
          <w:b w:val="false"/>
          <w:i/>
          <w:color w:val="000000"/>
          <w:sz w:val="22"/>
        </w:rPr>
        <w:t xml:space="preserve">Termination for cause. </w:t>
      </w:r>
      <w:r>
        <w:rPr>
          <w:rFonts w:ascii="Times New Roman" w:hAnsi="Times New Roman"/>
          <w:b w:val="false"/>
          <w:i w:val="false"/>
          <w:color w:val="000000"/>
          <w:sz w:val="22"/>
        </w:rPr>
        <w:t>If the grantee fails to fulfill its obligations under the contract properly or on time, uses grant funds for purposes other than crime victim services approved by the program, or otherwise violates any provision of the contract, the board may terminate the contract by providing written notice to the grantee. Funds shall not be used for social justice activities. The notice shall specify the acts or omissions relied on as cause for termination. All finished or unfinished products and services provided by the grantee shall, at the option of the section, become state property. The section shall pay the grantee fair and equitable compensation for satisfactory performance prior to receipt of notice of termination minus any funds owing to the department (e.g., damages for breach, improperly spent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61—9.63</w:t>
      </w:r>
      <w:r>
        <w:rPr>
          <w:rFonts w:ascii="Times New Roman" w:hAnsi="Times New Roman"/>
          <w:b/>
          <w:i w:val="false"/>
          <w:color w:val="000000"/>
          <w:sz w:val="22"/>
        </w:rPr>
        <w:t xml:space="preserve">(13) </w:t>
      </w:r>
      <w:r>
        <w:rPr>
          <w:rFonts w:ascii="Times New Roman" w:hAnsi="Times New Roman"/>
          <w:b/>
          <w:i w:val="false"/>
          <w:color w:val="000000"/>
          <w:sz w:val="22"/>
        </w:rPr>
        <w:t xml:space="preserve">Financial statement supplied. </w:t>
      </w:r>
      <w:r>
        <w:rPr>
          <w:rFonts w:ascii="Times New Roman" w:hAnsi="Times New Roman"/>
          <w:b w:val="false"/>
          <w:i w:val="false"/>
          <w:color w:val="000000"/>
          <w:sz w:val="22"/>
        </w:rPr>
        <w:t>Within 45 days of the termination, the grantee shall supply the section with a financial statement detailing all costs incurred up to the effective date of the termination. The section’s determination of costs and amounts to be paid shall be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61—9.64</w:t>
      </w:r>
      <w:r>
        <w:rPr>
          <w:rFonts w:ascii="Times New Roman" w:hAnsi="Times New Roman"/>
          <w:b/>
          <w:i w:val="false"/>
          <w:color w:val="000000"/>
          <w:sz w:val="22"/>
        </w:rPr>
        <w:t xml:space="preserve">(13) </w:t>
      </w:r>
      <w:r>
        <w:rPr>
          <w:rFonts w:ascii="Times New Roman" w:hAnsi="Times New Roman"/>
          <w:b/>
          <w:i w:val="false"/>
          <w:color w:val="000000"/>
          <w:sz w:val="22"/>
        </w:rPr>
        <w:t xml:space="preserve">Indemnification. </w:t>
      </w:r>
      <w:r>
        <w:rPr>
          <w:rFonts w:ascii="Times New Roman" w:hAnsi="Times New Roman"/>
          <w:b w:val="false"/>
          <w:i w:val="false"/>
          <w:color w:val="000000"/>
          <w:sz w:val="22"/>
        </w:rPr>
        <w:t>The grantee shall defend, indemnify, and hold harmless the state of Iowa; its officers, agents and employees; and any of the state’s federal funding sources 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9.64(1)</w:t>
      </w:r>
      <w:r>
        <w:rPr>
          <w:rFonts w:ascii="Times New Roman" w:hAnsi="Times New Roman"/>
          <w:b w:val="false"/>
          <w:i w:val="false"/>
          <w:color w:val="000000"/>
          <w:sz w:val="22"/>
        </w:rPr>
        <w:t> </w:t>
      </w:r>
      <w:r>
        <w:rPr>
          <w:rFonts w:ascii="Times New Roman" w:hAnsi="Times New Roman"/>
          <w:b w:val="false"/>
          <w:i w:val="false"/>
          <w:color w:val="000000"/>
          <w:sz w:val="22"/>
        </w:rPr>
        <w:t>Grantee’s performance or nonperformance of a contract entered into or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9.64(2)</w:t>
      </w:r>
      <w:r>
        <w:rPr>
          <w:rFonts w:ascii="Times New Roman" w:hAnsi="Times New Roman"/>
          <w:b w:val="false"/>
          <w:i w:val="false"/>
          <w:color w:val="000000"/>
          <w:sz w:val="22"/>
        </w:rPr>
        <w:t> </w:t>
      </w:r>
      <w:r>
        <w:rPr>
          <w:rFonts w:ascii="Times New Roman" w:hAnsi="Times New Roman"/>
          <w:b w:val="false"/>
          <w:i w:val="false"/>
          <w:color w:val="000000"/>
          <w:sz w:val="22"/>
        </w:rPr>
        <w:t>Grantee’s activities with subcontractors and all other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9.64(3)</w:t>
      </w:r>
      <w:r>
        <w:rPr>
          <w:rFonts w:ascii="Times New Roman" w:hAnsi="Times New Roman"/>
          <w:b w:val="false"/>
          <w:i w:val="false"/>
          <w:color w:val="000000"/>
          <w:sz w:val="22"/>
        </w:rPr>
        <w:t> </w:t>
      </w:r>
      <w:r>
        <w:rPr>
          <w:rFonts w:ascii="Times New Roman" w:hAnsi="Times New Roman"/>
          <w:b w:val="false"/>
          <w:i w:val="false"/>
          <w:color w:val="000000"/>
          <w:sz w:val="22"/>
        </w:rPr>
        <w:t>Any other act or omission by a grantee, its agents, officers, or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61—9.65</w:t>
      </w:r>
      <w:r>
        <w:rPr>
          <w:rFonts w:ascii="Times New Roman" w:hAnsi="Times New Roman"/>
          <w:b/>
          <w:i w:val="false"/>
          <w:color w:val="000000"/>
          <w:sz w:val="22"/>
        </w:rPr>
        <w:t xml:space="preserve">(13) </w:t>
      </w:r>
      <w:r>
        <w:rPr>
          <w:rFonts w:ascii="Times New Roman" w:hAnsi="Times New Roman"/>
          <w:b/>
          <w:i w:val="false"/>
          <w:color w:val="000000"/>
          <w:sz w:val="22"/>
        </w:rPr>
        <w:t xml:space="preserve">Records. </w:t>
      </w:r>
      <w:r>
        <w:rPr>
          <w:rFonts w:ascii="Times New Roman" w:hAnsi="Times New Roman"/>
          <w:b w:val="false"/>
          <w:i w:val="false"/>
          <w:color w:val="000000"/>
          <w:sz w:val="22"/>
        </w:rPr>
        <w:t>Grantees shall keep statistical records and documentation of services provided and any other activities as required by the program. The program shall have immediate access during working hours to records pertaining to the contract. No notice needs to be provided to the grantee prior to inspection of the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61—9.66</w:t>
      </w:r>
      <w:r>
        <w:rPr>
          <w:rFonts w:ascii="Times New Roman" w:hAnsi="Times New Roman"/>
          <w:b w:val="false"/>
          <w:i w:val="false"/>
          <w:color w:val="000000"/>
          <w:sz w:val="22"/>
        </w:rPr>
        <w:t xml:space="preserve"> to </w:t>
      </w:r>
      <w:r>
        <w:rPr>
          <w:rFonts w:ascii="Times New Roman" w:hAnsi="Times New Roman"/>
          <w:b/>
          <w:i w:val="false"/>
          <w:color w:val="000000"/>
          <w:sz w:val="22"/>
        </w:rPr>
        <w:t>9.78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61—9.79</w:t>
      </w:r>
      <w:r>
        <w:rPr>
          <w:rFonts w:ascii="Times New Roman" w:hAnsi="Times New Roman"/>
          <w:b/>
          <w:i w:val="false"/>
          <w:color w:val="000000"/>
          <w:sz w:val="22"/>
        </w:rPr>
        <w:t xml:space="preserve">(915) </w:t>
      </w:r>
      <w:r>
        <w:rPr>
          <w:rFonts w:ascii="Times New Roman" w:hAnsi="Times New Roman"/>
          <w:b/>
          <w:i w:val="false"/>
          <w:color w:val="000000"/>
          <w:sz w:val="22"/>
        </w:rPr>
        <w:t xml:space="preserve">Iowa standards for sexual assault nurse examiners.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To ensure the highest standard of care for sexual assault victims, registered nurses, doctors of medicine or doctors of osteopathic medicine, advanced registered nurse practitioners, and physician assistants are eligible for reimbursement from the state for mileage and compensation for performing sexual assault examinations as long as they meet all of the requirements set forth in subrules </w:t>
      </w:r>
      <w:hyperlink r:id="rId69">
        <w:r>
          <w:rPr>
            <w:rStyle w:val="Hyperlink"/>
            <w:rFonts w:ascii="Times New Roman" w:hAnsi="Times New Roman"/>
            <w:b w:val="false"/>
            <w:i w:val="false"/>
            <w:color w:val="000000"/>
            <w:sz w:val="22"/>
          </w:rPr>
          <w:t>9.79(2) through 9.79(5)</w:t>
        </w:r>
      </w:hyperlink>
      <w:r>
        <w:rPr>
          <w:rFonts w:ascii="Times New Roman" w:hAnsi="Times New Roman"/>
          <w:b w:val="false"/>
          <w:i w:val="false"/>
          <w:color w:val="000000"/>
          <w:sz w:val="22"/>
        </w:rPr>
        <w:t>. All applicant documentation submitted is reviewed, and either approved or recommended for denial by the sexual assault forensic response coordinator. All recommendations for denial are reviewed by the strategy and compliance manager and are either approved or denied. Sexual assault nurse examiners or sexual assault nurse examiner candidates who disagree with the decision may appeal to the chief, who will either approve or deny the decision. If the applicant disagrees with the chief’s decision, then the decision may be appealed to the victim assistance board within 30 days of receipt of the decision. If an applicant disagrees with the decision of the board, the decision may be appealed to the district court for judicial review within 30 days of the receipt of the board’s decision. All sexual assault nurse examiners must be committed to being in regular contact with the sexual assault forensic response coordinator and communicating any changes in their ability or commitment to serve.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to become a sexual assault nurse examiner in the state of Iowa, a qualified provider shall meet or exceed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Active and unrestricted qualified medical practicing licensure in accordance with subrule </w:t>
      </w:r>
      <w:hyperlink r:id="rId70">
        <w:r>
          <w:rPr>
            <w:rStyle w:val="Hyperlink"/>
            <w:rFonts w:ascii="Times New Roman" w:hAnsi="Times New Roman"/>
            <w:b w:val="false"/>
            <w:i w:val="false"/>
            <w:color w:val="000000"/>
            <w:sz w:val="22"/>
          </w:rPr>
          <w:t>9.79(1)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registered nurses, an adult/adolescent sexual assault nurse examiner candidate shall have two years of nursing experience unless prior experience as a certified nursing assistant (CNA) or licensed practical nurse with experience in an acute care environment, including but not limited to an emergency department, intensive care, coronary care, cardiology, and neonatal intensive care, is deemed sufficient by the sexual assault forensic response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pediatric sexual assault nurse examiner candidate shall have three years of nursing experience that includes a minimum of one year of specialty pediatric nursing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criminal history record check. All candidates shall request a background check from the division of criminal investigation online, by mail, by fax, by email, or in person. The fee is not reimbursed by the state but may be reimbursable through the candidate’s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71">
        <w:r>
          <w:rPr>
            <w:rStyle w:val="Hyperlink"/>
            <w:rFonts w:ascii="Times New Roman" w:hAnsi="Times New Roman"/>
            <w:b w:val="false"/>
            <w:i w:val="false"/>
            <w:color w:val="000000"/>
            <w:sz w:val="22"/>
          </w:rPr>
          <w:t>272C.15(2)</w:t>
        </w:r>
      </w:hyperlink>
      <w:r>
        <w:rPr>
          <w:rFonts w:ascii="Times New Roman" w:hAnsi="Times New Roman"/>
          <w:b w:val="false"/>
          <w:i w:val="false"/>
          <w:color w:val="000000"/>
          <w:sz w:val="22"/>
        </w:rPr>
        <w:t xml:space="preserve"> describes criminal convictions that may disqualify a candidate from qualifying to serve as a sexual assault nurse examiner. Any convictions involving a crime of dishonesty or false statements shall be disclosed by the candidate since the conviction may be used to attack a witness’s character and ultimately impeach the witness (more information can be found in Iowa Rule of Evidence 5.609).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cases where a conviction may disqualify a candidate, the candidate shall follow the appeal process in subrule 9.79(1).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the completion of the background check, any conviction other than a minor traffic infraction shall be disclosed to the sexual assault forensic response coordinator within 15 calendar days to determine whether the conviction disqualifies the individual from continuing to serve as a sexual assault nurse examiner. In cases where a conviction may disqualify a candidate, the candidate shall follow the appeal process in subrule 9.79(1).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Commitment to practice as a sexual assault nurse examiner and maintain knowledge, standards and education. Every sexual assault nurse examiner in Iowa will complete the Commitment to Practice as a Sexual Assault Nurse Examiner in Iowa document and submit it to the sexual assault forensic response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letter of support to practice as a sexual assault nurse examiner in a facility. The letter of support will be written by a professional in the sexual assault field or a supervisor, state that the professional supports the candidate in providing services to sexual assault victims, and be submitted to the sexual assault forensic response coordinator. Examples of professionals or supervisors include but are not limited to a sexual assault nurse examiner coordinator, emergency department director, or advocacy sexual assault response team (SART)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9.79(3)</w:t>
      </w:r>
      <w:r>
        <w:rPr>
          <w:rFonts w:ascii="Times New Roman" w:hAnsi="Times New Roman"/>
          <w:b w:val="false"/>
          <w:i w:val="false"/>
          <w:color w:val="000000"/>
          <w:sz w:val="22"/>
        </w:rPr>
        <w:t> </w:t>
      </w:r>
      <w:r>
        <w:rPr>
          <w:rFonts w:ascii="Times New Roman" w:hAnsi="Times New Roman"/>
          <w:b w:val="false"/>
          <w:i/>
          <w:color w:val="000000"/>
          <w:sz w:val="22"/>
        </w:rPr>
        <w:t xml:space="preserve">Candidate approval. </w:t>
      </w:r>
      <w:r>
        <w:rPr>
          <w:rFonts w:ascii="Times New Roman" w:hAnsi="Times New Roman"/>
          <w:b w:val="false"/>
          <w:i w:val="false"/>
          <w:color w:val="000000"/>
          <w:sz w:val="22"/>
        </w:rPr>
        <w:t>All sexual assault nurse examiner candidates shall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candidate has completed an approved and accredited 40-hour adult and adolescent course that is consistent with sexual assault nurse examiner education guidelines established by the International Association of Forensic Nurses (IAFN), which includes the awarding of continuing education for course completion. Additionally, the course shall include training and objectives covering Iowa-specific knowledge, including but not limited to laws; regulations; Iowa kit tracking requirements; and medical, legal, and judicial protocols. The candidate shall submit all certificates of completion to the sexual assault forensic response coordinator;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candidate has completed a sexual assault nurse examiner education course in another state, the course will be verified and either approved or denied by the sexual assault forensic response coordinator, indicating whether the course meets the standards required by Iowa (as referenced above). If the course is denied, the sexual assault forensic response coordinator will provide all documentation to the strategy and compliance manager for a second review and decision. If the 40-hour course meets approved standards but is missing the Iowa-specific education, the sexual assault forensic response coordinator will make a recommendation to fulfill this training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practitioner who holds doctor of medicine or doctor of osteopathic medicine licensure will be considered a qualified provider in accordance with the Iowa standards for sexual assault nurse examiners approved by the department upon completion of an approved 30-hour adult and adolescent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9.79(4)</w:t>
      </w:r>
      <w:r>
        <w:rPr>
          <w:rFonts w:ascii="Times New Roman" w:hAnsi="Times New Roman"/>
          <w:b w:val="false"/>
          <w:i w:val="false"/>
          <w:color w:val="000000"/>
          <w:sz w:val="22"/>
        </w:rPr>
        <w:t> </w:t>
      </w:r>
      <w:r>
        <w:rPr>
          <w:rFonts w:ascii="Times New Roman" w:hAnsi="Times New Roman"/>
          <w:b w:val="false"/>
          <w:i/>
          <w:color w:val="000000"/>
          <w:sz w:val="22"/>
        </w:rPr>
        <w:t xml:space="preserve">Completion of clinical training log/preceptorship. </w:t>
      </w:r>
      <w:r>
        <w:rPr>
          <w:rFonts w:ascii="Times New Roman" w:hAnsi="Times New Roman"/>
          <w:b w:val="false"/>
          <w:i w:val="false"/>
          <w:color w:val="000000"/>
          <w:sz w:val="22"/>
        </w:rPr>
        <w:t>All sexual assault nurse examiner candidates shall complete the following within six months of successfully completing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and turn in a training log to the sexual assault forensic response coordinator, who will maintain the initial certificate and all continuing education (CE).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Clinical experience, which may be obtained by working with an experienced practicing sexual assault nurse examiner, through a live clinical simulation training, or a combination of the two. Documentation shall be submitted to the sexual assault forensic response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log of a preceptorship to the sexual assault forensic response coordinator for review and approval. The log shall include acute examination evaluation and skill verification, including demonstration of use and the ability to perform the following: components of a medical and forensic examination and interview; documentation; understanding and obtaining patient consent forms; kit collection; tracking system use and education to patient; prophylactic medication administration and education; and verbalizing and demonstrating interaction of the multidisciplinary team (MDT) approach and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9.79(5)</w:t>
      </w:r>
      <w:r>
        <w:rPr>
          <w:rFonts w:ascii="Times New Roman" w:hAnsi="Times New Roman"/>
          <w:b w:val="false"/>
          <w:i w:val="false"/>
          <w:color w:val="000000"/>
          <w:sz w:val="22"/>
        </w:rPr>
        <w:t> </w:t>
      </w:r>
      <w:r>
        <w:rPr>
          <w:rFonts w:ascii="Times New Roman" w:hAnsi="Times New Roman"/>
          <w:b w:val="false"/>
          <w:i/>
          <w:color w:val="000000"/>
          <w:sz w:val="22"/>
        </w:rPr>
        <w:t xml:space="preserve">Reapproval, practice expectations, and CE. </w:t>
      </w:r>
      <w:r>
        <w:rPr>
          <w:rFonts w:ascii="Times New Roman" w:hAnsi="Times New Roman"/>
          <w:b w:val="false"/>
          <w:i w:val="false"/>
          <w:color w:val="000000"/>
          <w:sz w:val="22"/>
        </w:rPr>
        <w:t>Every three years, sexual assault nurse examiners will submit reapproval documentation to the sexual assault forensic response coordinator by March 31 of the year reapproval is due. The sexual assault forensic response coordinator will provide confirmation of reapproval by April 30 of the same year. The documentation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200 total hours of sexual assault nurse examiner-related practice or education, which shall be achieved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150 hours of intended direct care of sexual assault patients. “Intended direct care” means a qualified provider is available and expected to provide services to patients presenting for sexual assault if the provider is on duty during a scheduled shift or on call or a combination of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50 hours of education related to sexual assault patient care. This can include topics such as trauma neurobiology, sexual assault, testifying, human trafficking, and other 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All sexual assault nurse examiners shall complete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 at least one virtual or in-person biannual meeting led by the sexual assault forensic response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proof of attendance for at least 50 hours of education in the area of sexual assault patient care every three years. This can include topics such as neurobiology of trauma, MDT response, human trafficking, testifying, and other 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Submit verification of the number of examinations completed.  If fewer than two examinations are completed in a 16-month period, attendance at an approved clinical simulation training or collaboration with a designated preceptor for skill validation will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61—9.80</w:t>
      </w:r>
      <w:r>
        <w:rPr>
          <w:rFonts w:ascii="Times New Roman" w:hAnsi="Times New Roman"/>
          <w:b/>
          <w:i w:val="false"/>
          <w:color w:val="000000"/>
          <w:sz w:val="22"/>
        </w:rPr>
        <w:t xml:space="preserve">(915) </w:t>
      </w:r>
      <w:r>
        <w:rPr>
          <w:rFonts w:ascii="Times New Roman" w:hAnsi="Times New Roman"/>
          <w:b/>
          <w:i w:val="false"/>
          <w:color w:val="000000"/>
          <w:sz w:val="22"/>
        </w:rPr>
        <w:t xml:space="preserve">Administration of sexual abuse examination payment. </w:t>
      </w:r>
      <w:r>
        <w:rPr>
          <w:rFonts w:ascii="Times New Roman" w:hAnsi="Times New Roman"/>
          <w:b w:val="false"/>
          <w:i w:val="false"/>
          <w:color w:val="000000"/>
          <w:sz w:val="22"/>
        </w:rPr>
        <w:t xml:space="preserve">The section shall administer the sexual abuse examination program as provided in Iowa Code section </w:t>
      </w:r>
      <w:hyperlink r:id="rId72">
        <w:r>
          <w:rPr>
            <w:rStyle w:val="Hyperlink"/>
            <w:rFonts w:ascii="Times New Roman" w:hAnsi="Times New Roman"/>
            <w:b w:val="false"/>
            <w:i w:val="false"/>
            <w:color w:val="000000"/>
            <w:sz w:val="22"/>
          </w:rPr>
          <w:t>915.41</w:t>
        </w:r>
      </w:hyperlink>
      <w:r>
        <w:rPr>
          <w:rFonts w:ascii="Times New Roman" w:hAnsi="Times New Roman"/>
          <w:b w:val="false"/>
          <w:i w:val="false"/>
          <w:color w:val="000000"/>
          <w:sz w:val="22"/>
        </w:rPr>
        <w:t>. That Iowa Code section states in part that the cost of a medical examination for the purpose of gathering evidence and the cost of treatment for the purpose of preventing sexually transmitted disease and preventing pregnancy shall be borne by the department of justice. Questions regarding payment should be made by calling 515.281.5044 or 1.800.373.5044.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61—9.81</w:t>
      </w:r>
      <w:r>
        <w:rPr>
          <w:rFonts w:ascii="Times New Roman" w:hAnsi="Times New Roman"/>
          <w:b/>
          <w:i w:val="false"/>
          <w:color w:val="000000"/>
          <w:sz w:val="22"/>
        </w:rPr>
        <w:t xml:space="preserve">(915)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rules related to sexual assault nurse examiners and sexual abuse payments,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means the administrator of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claimant” </w:t>
      </w:r>
      <w:r>
        <w:rPr>
          <w:rFonts w:ascii="Times New Roman" w:hAnsi="Times New Roman"/>
          <w:b w:val="false"/>
          <w:i w:val="false"/>
          <w:color w:val="000000"/>
          <w:sz w:val="22"/>
        </w:rPr>
        <w:t>means a medical provider that provides a sexual abuse examination to a sexual assault victim. The following are eligible to file a claim with the crime victim assistance program in the event that they have made payment to a medical provider for the costs of a sexual abuse examination: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victim of sexual abuse.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responsible for the maintenance of a sexual abuse victim.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dependent of a victim who has died as a result of injuries sustained in a sexual assault.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guardian of a sexual abuse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charges” </w:t>
      </w:r>
      <w:r>
        <w:rPr>
          <w:rFonts w:ascii="Times New Roman" w:hAnsi="Times New Roman"/>
          <w:b w:val="false"/>
          <w:i w:val="false"/>
          <w:color w:val="000000"/>
          <w:sz w:val="22"/>
        </w:rPr>
        <w:t>means those ordinarily charged by the provider of the service to the general public for services of a similar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abuse” </w:t>
      </w:r>
      <w:r>
        <w:rPr>
          <w:rFonts w:ascii="Times New Roman" w:hAnsi="Times New Roman"/>
          <w:b w:val="false"/>
          <w:i w:val="false"/>
          <w:color w:val="000000"/>
          <w:sz w:val="22"/>
        </w:rPr>
        <w:t xml:space="preserve">means the same as “sexual abuse” as defined in Iowa Code section </w:t>
      </w:r>
      <w:hyperlink r:id="rId73">
        <w:r>
          <w:rPr>
            <w:rStyle w:val="Hyperlink"/>
            <w:rFonts w:ascii="Times New Roman" w:hAnsi="Times New Roman"/>
            <w:b w:val="false"/>
            <w:i w:val="false"/>
            <w:color w:val="000000"/>
            <w:sz w:val="22"/>
          </w:rPr>
          <w:t>709.1</w:t>
        </w:r>
      </w:hyperlink>
      <w:r>
        <w:rPr>
          <w:rFonts w:ascii="Times New Roman" w:hAnsi="Times New Roman"/>
          <w:b w:val="false"/>
          <w:i w:val="false"/>
          <w:color w:val="000000"/>
          <w:sz w:val="22"/>
        </w:rPr>
        <w:t xml:space="preserve"> or “incest” as described in Iowa Code section </w:t>
      </w:r>
      <w:hyperlink r:id="rId74">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abuse examination” </w:t>
      </w:r>
      <w:r>
        <w:rPr>
          <w:rFonts w:ascii="Times New Roman" w:hAnsi="Times New Roman"/>
          <w:b w:val="false"/>
          <w:i w:val="false"/>
          <w:color w:val="000000"/>
          <w:sz w:val="22"/>
        </w:rPr>
        <w:t xml:space="preserve">means a medical examination provided to a woman, man, or child to collect evidence of sexual abuse victimization of that person as described in Iowa Code sections </w:t>
      </w:r>
      <w:hyperlink r:id="rId75">
        <w:r>
          <w:rPr>
            <w:rStyle w:val="Hyperlink"/>
            <w:rFonts w:ascii="Times New Roman" w:hAnsi="Times New Roman"/>
            <w:b w:val="false"/>
            <w:i w:val="false"/>
            <w:color w:val="000000"/>
            <w:sz w:val="22"/>
          </w:rPr>
          <w:t>709.1</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and provide treatment for the prevention of sexually transmitted disease and prevention of pregnancy pursuant to Iowa Code section </w:t>
      </w:r>
      <w:hyperlink r:id="rId77">
        <w:r>
          <w:rPr>
            <w:rStyle w:val="Hyperlink"/>
            <w:rFonts w:ascii="Times New Roman" w:hAnsi="Times New Roman"/>
            <w:b w:val="false"/>
            <w:i w:val="false"/>
            <w:color w:val="000000"/>
            <w:sz w:val="22"/>
          </w:rPr>
          <w:t>915.41</w:t>
        </w:r>
      </w:hyperlink>
      <w:r>
        <w:rPr>
          <w:rFonts w:ascii="Times New Roman" w:hAnsi="Times New Roman"/>
          <w:b w:val="false"/>
          <w:i w:val="false"/>
          <w:color w:val="000000"/>
          <w:sz w:val="22"/>
        </w:rPr>
        <w:t xml:space="preserve">. When applicable, the provider of a sexual abuse examination shall file a child abuse report with the Iowa department of health and human services as required by Iowa Code section </w:t>
      </w:r>
      <w:hyperlink r:id="rId78">
        <w:r>
          <w:rPr>
            <w:rStyle w:val="Hyperlink"/>
            <w:rFonts w:ascii="Times New Roman" w:hAnsi="Times New Roman"/>
            <w:b w:val="false"/>
            <w:i w:val="false"/>
            <w:color w:val="000000"/>
            <w:sz w:val="22"/>
          </w:rPr>
          <w:t>232.70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61—9.82</w:t>
      </w:r>
      <w:r>
        <w:rPr>
          <w:rFonts w:ascii="Times New Roman" w:hAnsi="Times New Roman"/>
          <w:b/>
          <w:i w:val="false"/>
          <w:color w:val="000000"/>
          <w:sz w:val="22"/>
        </w:rPr>
        <w:t xml:space="preserve">(915) </w:t>
      </w:r>
      <w:r>
        <w:rPr>
          <w:rFonts w:ascii="Times New Roman" w:hAnsi="Times New Roman"/>
          <w:b/>
          <w:i w:val="false"/>
          <w:color w:val="000000"/>
          <w:sz w:val="22"/>
        </w:rPr>
        <w:t xml:space="preserve">Application for sexual abuse examination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color w:val="000000"/>
          <w:sz w:val="22"/>
        </w:rPr>
        <w:t xml:space="preserve">Consideration for payment. </w:t>
      </w:r>
      <w:r>
        <w:rPr>
          <w:rFonts w:ascii="Times New Roman" w:hAnsi="Times New Roman"/>
          <w:b w:val="false"/>
          <w:i w:val="false"/>
          <w:color w:val="000000"/>
          <w:sz w:val="22"/>
        </w:rPr>
        <w:t>The department will consider payment upon receipt of a claim for reimbursement from a medical provider indicating that the claim is for the collection of evidence by sexual abuse examination. In the case that a victim, guardian of a victim, person responsible for the victim, or dependent of a victim who died of injuries sustained in a sexual assault has paid part or all of the charges incurred, a copy of the provider bill and documentation of personal payment of the bill must be submitted for reimbursement. An application for sexual abuse examination payment must include the federal identification number or social security number of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color w:val="000000"/>
          <w:sz w:val="22"/>
        </w:rPr>
        <w:t xml:space="preserve">Application filing. </w:t>
      </w:r>
      <w:r>
        <w:rPr>
          <w:rFonts w:ascii="Times New Roman" w:hAnsi="Times New Roman"/>
          <w:b w:val="false"/>
          <w:i w:val="false"/>
          <w:color w:val="000000"/>
          <w:sz w:val="22"/>
        </w:rPr>
        <w:t>To apply for payment under the sexual abuse examination program, the form or bill submitted must identify the sexual assault victim by name, birth date, and patient number; indicate that the claim is for a sexual abuse examination; and itemize all services rendered and the fee for each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61—9.83</w:t>
      </w:r>
      <w:r>
        <w:rPr>
          <w:rFonts w:ascii="Times New Roman" w:hAnsi="Times New Roman"/>
          <w:b/>
          <w:i w:val="false"/>
          <w:color w:val="000000"/>
          <w:sz w:val="22"/>
        </w:rPr>
        <w:t xml:space="preserve">(915) </w:t>
      </w:r>
      <w:r>
        <w:rPr>
          <w:rFonts w:ascii="Times New Roman" w:hAnsi="Times New Roman"/>
          <w:b/>
          <w:i w:val="false"/>
          <w:color w:val="000000"/>
          <w:sz w:val="22"/>
        </w:rPr>
        <w:t xml:space="preserve">Computation of sexual abuse examination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9.83(1)</w:t>
      </w:r>
      <w:r>
        <w:rPr>
          <w:rFonts w:ascii="Times New Roman" w:hAnsi="Times New Roman"/>
          <w:b w:val="false"/>
          <w:i w:val="false"/>
          <w:color w:val="000000"/>
          <w:sz w:val="22"/>
        </w:rPr>
        <w:t> </w:t>
      </w:r>
      <w:r>
        <w:rPr>
          <w:rFonts w:ascii="Times New Roman" w:hAnsi="Times New Roman"/>
          <w:b w:val="false"/>
          <w:i/>
          <w:color w:val="000000"/>
          <w:sz w:val="22"/>
        </w:rPr>
        <w:t xml:space="preserve">Payment for examination. </w:t>
      </w:r>
      <w:r>
        <w:rPr>
          <w:rFonts w:ascii="Times New Roman" w:hAnsi="Times New Roman"/>
          <w:b w:val="false"/>
          <w:i w:val="false"/>
          <w:color w:val="000000"/>
          <w:sz w:val="22"/>
        </w:rPr>
        <w:t>The department shall make payment for sexual abuse examinations, as appropriate, for services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Examiner’s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collect the patient’s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conduct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collect laboratory specimens;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test for sexually transmitted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for the prevention of sexually transmitted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Examination facility,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room, clinic room or office room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Pelvic tray and medically required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facility or equipment fees that the department determines to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Laboratory collection and processing of specimens for criminal evidence, sexually transmitted disease, and pregnancy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w:t>
      </w:r>
      <w:r>
        <w:rPr>
          <w:rFonts w:ascii="Times New Roman" w:hAnsi="Times New Roman"/>
          <w:b w:val="false"/>
          <w:i w:val="false"/>
          <w:color w:val="000000"/>
          <w:sz w:val="22"/>
        </w:rPr>
        <w:t> </w:t>
      </w:r>
      <w:r>
        <w:rPr>
          <w:rFonts w:ascii="Times New Roman" w:hAnsi="Times New Roman"/>
          <w:b w:val="false"/>
          <w:i/>
          <w:color w:val="000000"/>
          <w:sz w:val="22"/>
        </w:rPr>
        <w:t xml:space="preserve">Provider payment. </w:t>
      </w:r>
      <w:r>
        <w:rPr>
          <w:rFonts w:ascii="Times New Roman" w:hAnsi="Times New Roman"/>
          <w:b w:val="false"/>
          <w:i w:val="false"/>
          <w:color w:val="000000"/>
          <w:sz w:val="22"/>
        </w:rPr>
        <w:t xml:space="preserve">Any sexual assault forensic examination performed or any sexual abuse services provided by a qualified provider within the first 30 days after a sexual abuse will qualify the provider to receive a $400 provider fee and the $300 facility fee. Qualified providers serving sexual abuse patients with follow-up care will receive a $200 provider fee and a $300 facility fee, if it applies. Services provided by nonqualified providers will only be reimbursed the $300 facility fee, if it applies. Qualified providers are sexual assault nurse examiners as well as other professionals, including doctors of medicine or doctors of osteopathic medicine, advance registered nurse practitioners, and physician assistants who meet or exceed the Iowa standards for sexual assault nurse examiners (more information can be found in rule </w:t>
      </w:r>
      <w:hyperlink r:id="rId79">
        <w:r>
          <w:rPr>
            <w:rStyle w:val="Hyperlink"/>
            <w:rFonts w:ascii="Times New Roman" w:hAnsi="Times New Roman"/>
            <w:b w:val="false"/>
            <w:i w:val="false"/>
            <w:color w:val="000000"/>
            <w:sz w:val="22"/>
          </w:rPr>
          <w:t>61—9.79(915)</w:t>
        </w:r>
      </w:hyperlink>
      <w:r>
        <w:rPr>
          <w:rFonts w:ascii="Times New Roman" w:hAnsi="Times New Roman"/>
          <w:b w:val="false"/>
          <w:i w:val="false"/>
          <w:color w:val="000000"/>
          <w:sz w:val="22"/>
        </w:rPr>
        <w:t>). For this purpose, an individual does not have to be certified by IAFN to be a qualified provider. Additionally, child protection centers (CPCs) in Iowa that have been accredited by the National Children’s Alliance or equivalent accrediting body will be reimbursed by the state at a rate equivalent to that of those individuals who meet or exceed the Iowa standards for sexual assault nurse examiners. The medical exam shall be completed within 30 days of the disclosure of sexual abuse to the CPC. A qualified sexual assault nurse examiner shall also be reimbursed for travel at the per-mile rate established by the department of administrative services for state employees using a privately owned vehicle for state business. No reimbursement will be provided until the appropriate reimbursement invoice and the sexual assault forensic examination consent form are submitted. Any charges in excess of these amounts will require additional documentation from the provider. The crime victim assistance program will pay only those charges determined by the department to be reasonable and 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w:t>
      </w:r>
      <w:r>
        <w:rPr>
          <w:rFonts w:ascii="Times New Roman" w:hAnsi="Times New Roman"/>
          <w:b w:val="false"/>
          <w:i w:val="false"/>
          <w:color w:val="000000"/>
          <w:sz w:val="22"/>
        </w:rPr>
        <w:t> </w:t>
      </w:r>
      <w:r>
        <w:rPr>
          <w:rFonts w:ascii="Times New Roman" w:hAnsi="Times New Roman"/>
          <w:b w:val="false"/>
          <w:i/>
          <w:color w:val="000000"/>
          <w:sz w:val="22"/>
        </w:rPr>
        <w:t xml:space="preserve">Examination kits available at no cost. </w:t>
      </w:r>
      <w:r>
        <w:rPr>
          <w:rFonts w:ascii="Times New Roman" w:hAnsi="Times New Roman"/>
          <w:b w:val="false"/>
          <w:i w:val="false"/>
          <w:color w:val="000000"/>
          <w:sz w:val="22"/>
        </w:rPr>
        <w:t>The section makes sexual abuse examination kits available to health care providers at no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61—9.84</w:t>
      </w:r>
      <w:r>
        <w:rPr>
          <w:rFonts w:ascii="Times New Roman" w:hAnsi="Times New Roman"/>
          <w:b/>
          <w:i w:val="false"/>
          <w:color w:val="000000"/>
          <w:sz w:val="22"/>
        </w:rPr>
        <w:t xml:space="preserve">(915) </w:t>
      </w:r>
      <w:r>
        <w:rPr>
          <w:rFonts w:ascii="Times New Roman" w:hAnsi="Times New Roman"/>
          <w:b/>
          <w:i w:val="false"/>
          <w:color w:val="000000"/>
          <w:sz w:val="22"/>
        </w:rPr>
        <w:t xml:space="preserve">Victim responsibility for payment. </w:t>
      </w:r>
      <w:r>
        <w:rPr>
          <w:rFonts w:ascii="Times New Roman" w:hAnsi="Times New Roman"/>
          <w:b w:val="false"/>
          <w:i w:val="false"/>
          <w:color w:val="000000"/>
          <w:sz w:val="22"/>
        </w:rPr>
        <w:t>A victim of sexual abuse is not responsible for the payment of the costs of a sexual abuse examination determined to be eligible for payment by the department. A medical provider must not submit any costs associated with a sexual abuse examination to a victim’s insurance or to the sexual abuse victim. A medical provider must not submit any remaining balance to the sexual abuse victim after the sexual abuse examination program has determined 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61—9.85</w:t>
      </w:r>
      <w:r>
        <w:rPr>
          <w:rFonts w:ascii="Times New Roman" w:hAnsi="Times New Roman"/>
          <w:b/>
          <w:i w:val="false"/>
          <w:color w:val="000000"/>
          <w:sz w:val="22"/>
        </w:rPr>
        <w:t xml:space="preserve">(915) </w:t>
      </w:r>
      <w:r>
        <w:rPr>
          <w:rFonts w:ascii="Times New Roman" w:hAnsi="Times New Roman"/>
          <w:b/>
          <w:i w:val="false"/>
          <w:color w:val="000000"/>
          <w:sz w:val="22"/>
        </w:rPr>
        <w:t xml:space="preserve">Sexual abuse examination—right to restitution. </w:t>
      </w:r>
      <w:r>
        <w:rPr>
          <w:rFonts w:ascii="Times New Roman" w:hAnsi="Times New Roman"/>
          <w:b w:val="false"/>
          <w:i w:val="false"/>
          <w:color w:val="000000"/>
          <w:sz w:val="22"/>
        </w:rPr>
        <w:t xml:space="preserve">In all criminal cases under Iowa Code chapter </w:t>
      </w:r>
      <w:hyperlink r:id="rId80">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and sections </w:t>
      </w:r>
      <w:hyperlink r:id="rId81">
        <w:r>
          <w:rPr>
            <w:rStyle w:val="Hyperlink"/>
            <w:rFonts w:ascii="Times New Roman" w:hAnsi="Times New Roman"/>
            <w:b w:val="false"/>
            <w:i w:val="false"/>
            <w:color w:val="000000"/>
            <w:sz w:val="22"/>
          </w:rPr>
          <w:t>726.2 </w:t>
        </w:r>
      </w:hyperlink>
      <w:r>
        <w:rPr>
          <w:rFonts w:ascii="Times New Roman" w:hAnsi="Times New Roman"/>
          <w:b w:val="false"/>
          <w:i w:val="false"/>
          <w:color w:val="000000"/>
          <w:sz w:val="22"/>
        </w:rPr>
        <w:t xml:space="preserve">and </w:t>
      </w:r>
      <w:hyperlink r:id="rId82">
        <w:r>
          <w:rPr>
            <w:rStyle w:val="Hyperlink"/>
            <w:rFonts w:ascii="Times New Roman" w:hAnsi="Times New Roman"/>
            <w:b w:val="false"/>
            <w:i w:val="false"/>
            <w:color w:val="000000"/>
            <w:sz w:val="22"/>
          </w:rPr>
          <w:t>710.2 </w:t>
        </w:r>
      </w:hyperlink>
      <w:r>
        <w:rPr>
          <w:rFonts w:ascii="Times New Roman" w:hAnsi="Times New Roman"/>
          <w:b w:val="false"/>
          <w:i w:val="false"/>
          <w:color w:val="000000"/>
          <w:sz w:val="22"/>
        </w:rPr>
        <w:t xml:space="preserve">in which there is a plea of guilty, verdict of guilty, or special verdict upon which a judgment of conviction is rendered, restitution may be ordered from the offender to the crime victim assistance program for the cost paid by the department for a sexual abuse examination rendered to the victim of that crime pursuant to Iowa Code section </w:t>
      </w:r>
      <w:hyperlink r:id="rId83">
        <w:r>
          <w:rPr>
            <w:rStyle w:val="Hyperlink"/>
            <w:rFonts w:ascii="Times New Roman" w:hAnsi="Times New Roman"/>
            <w:b w:val="false"/>
            <w:i w:val="false"/>
            <w:color w:val="000000"/>
            <w:sz w:val="22"/>
          </w:rPr>
          <w:t>910.2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61—9.86</w:t>
      </w:r>
      <w:r>
        <w:rPr>
          <w:rFonts w:ascii="Times New Roman" w:hAnsi="Times New Roman"/>
          <w:b/>
          <w:i w:val="false"/>
          <w:color w:val="000000"/>
          <w:sz w:val="22"/>
        </w:rPr>
        <w:t xml:space="preserve">(915) </w:t>
      </w:r>
      <w:r>
        <w:rPr>
          <w:rFonts w:ascii="Times New Roman" w:hAnsi="Times New Roman"/>
          <w:b/>
          <w:i w:val="false"/>
          <w:color w:val="000000"/>
          <w:sz w:val="22"/>
        </w:rPr>
        <w:t xml:space="preserve">Erroneous or fraudulent payment—penalty. </w:t>
      </w:r>
      <w:r>
        <w:rPr>
          <w:rFonts w:ascii="Times New Roman" w:hAnsi="Times New Roman"/>
          <w:b w:val="false"/>
          <w:i w:val="false"/>
          <w:color w:val="000000"/>
          <w:sz w:val="22"/>
        </w:rPr>
        <w:t>If a payment or overpayment of a reparation is made because of clerical error, mistaken identity, innocent misrepresentation by or on behalf of the recipient, or other circumstances of a similar nature, not induced by fraud by or on behalf of the recipients, the recipient is liable for repayment of the reparation. However, if the program does not notify the recipient of the erroneous payment or overpayment within one year of the date of payment, the recipient is not responsible for repayment to the department. If a payment or overpayment has been induced by fraud by or on behalf of a recipient, the recipient is liable for repayment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61—9.87</w:t>
      </w:r>
      <w:r>
        <w:rPr>
          <w:rFonts w:ascii="Times New Roman" w:hAnsi="Times New Roman"/>
          <w:b/>
          <w:i w:val="false"/>
          <w:color w:val="000000"/>
          <w:sz w:val="22"/>
        </w:rPr>
        <w:t xml:space="preserve">(915) </w:t>
      </w:r>
      <w:r>
        <w:rPr>
          <w:rFonts w:ascii="Times New Roman" w:hAnsi="Times New Roman"/>
          <w:b/>
          <w:i w:val="false"/>
          <w:color w:val="000000"/>
          <w:sz w:val="22"/>
        </w:rPr>
        <w:t xml:space="preserve">Right to appeal. </w:t>
      </w:r>
      <w:r>
        <w:rPr>
          <w:rFonts w:ascii="Times New Roman" w:hAnsi="Times New Roman"/>
          <w:b w:val="false"/>
          <w:i w:val="false"/>
          <w:color w:val="000000"/>
          <w:sz w:val="22"/>
        </w:rPr>
        <w:t>An eligible claimant who disagrees with the program’s decision concerning payment or amount of payment has the right to request reconsideration of the decision by the victim assistance board. The request for reconsideration must be received by the department within 60 days after the decision of the program is mailed.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4">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12/28/84, Notice 8/29/84—published 1/16/85, effective 4/3/85]</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emergency 6/9/89—published 6/28/89, effective 6/9/89]</w:t>
      </w:r>
    </w:p>
    <w:p>
      <w:pPr>
        <w:spacing w:before="0" w:after="0"/>
        <w:ind w:left="120"/>
        <w:jc w:val="center"/>
      </w:pPr>
      <w:r>
        <w:rPr>
          <w:rFonts w:ascii="Times New Roman" w:hAnsi="Times New Roman"/>
          <w:b w:val="false"/>
          <w:i w:val="false"/>
          <w:color w:val="000000"/>
          <w:sz w:val="21"/>
        </w:rPr>
        <w:t>[Filed emergency 8/4/89—published 8/23/89, effective 8/4/89]</w:t>
      </w:r>
    </w:p>
    <w:p>
      <w:pPr>
        <w:spacing w:before="0" w:after="0"/>
        <w:ind w:left="120"/>
        <w:jc w:val="center"/>
      </w:pPr>
      <w:r>
        <w:rPr>
          <w:rFonts w:ascii="Times New Roman" w:hAnsi="Times New Roman"/>
          <w:b w:val="false"/>
          <w:i w:val="false"/>
          <w:color w:val="000000"/>
          <w:sz w:val="21"/>
        </w:rPr>
        <w:t>[Filed emergency 9/1/89—published 9/20/89, effective 9/1/89]</w:t>
      </w:r>
    </w:p>
    <w:p>
      <w:pPr>
        <w:spacing w:before="0" w:after="0"/>
        <w:ind w:left="120"/>
        <w:jc w:val="center"/>
      </w:pPr>
      <w:r>
        <w:rPr>
          <w:rFonts w:ascii="Times New Roman" w:hAnsi="Times New Roman"/>
          <w:b w:val="false"/>
          <w:i w:val="false"/>
          <w:color w:val="000000"/>
          <w:sz w:val="21"/>
        </w:rPr>
        <w:t>[Filed 10/27/89, Notice 8/23/89—published 11/15/89, effective 12/20/89]</w:t>
      </w:r>
    </w:p>
    <w:p>
      <w:pPr>
        <w:spacing w:before="0" w:after="0"/>
        <w:ind w:left="120"/>
        <w:jc w:val="center"/>
      </w:pPr>
      <w:r>
        <w:rPr>
          <w:rFonts w:ascii="Times New Roman" w:hAnsi="Times New Roman"/>
          <w:b w:val="false"/>
          <w:i w:val="false"/>
          <w:color w:val="000000"/>
          <w:sz w:val="21"/>
        </w:rPr>
        <w:t>[Filed 12/22/89, Notice 9/20/89—published 1/10/90, effective 2/14/90]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5/11/90 after Notice 11/15/89—published 5/30/90, effective 5/11/90]</w:t>
      </w:r>
    </w:p>
    <w:p>
      <w:pPr>
        <w:spacing w:before="0" w:after="0"/>
        <w:ind w:left="120"/>
        <w:jc w:val="center"/>
      </w:pPr>
      <w:r>
        <w:rPr>
          <w:rFonts w:ascii="Times New Roman" w:hAnsi="Times New Roman"/>
          <w:b w:val="false"/>
          <w:i w:val="false"/>
          <w:color w:val="000000"/>
          <w:sz w:val="21"/>
        </w:rPr>
        <w:t>[Filed emergency 7/20/90—published 8/8/90, effective 7/20/90]</w:t>
      </w:r>
    </w:p>
    <w:p>
      <w:pPr>
        <w:spacing w:before="0" w:after="0"/>
        <w:ind w:left="120"/>
        <w:jc w:val="center"/>
      </w:pPr>
      <w:r>
        <w:rPr>
          <w:rFonts w:ascii="Times New Roman" w:hAnsi="Times New Roman"/>
          <w:b w:val="false"/>
          <w:i w:val="false"/>
          <w:color w:val="000000"/>
          <w:sz w:val="21"/>
        </w:rPr>
        <w:t>[Filed 5/8/92, Notice 11/27/91—published 5/27/92, effective 7/1/92]</w:t>
      </w:r>
    </w:p>
    <w:p>
      <w:pPr>
        <w:spacing w:before="0" w:after="0"/>
        <w:ind w:left="120"/>
        <w:jc w:val="center"/>
      </w:pPr>
      <w:r>
        <w:rPr>
          <w:rFonts w:ascii="Times New Roman" w:hAnsi="Times New Roman"/>
          <w:b w:val="false"/>
          <w:i w:val="false"/>
          <w:color w:val="000000"/>
          <w:sz w:val="21"/>
        </w:rPr>
        <w:t>[Filed 10/9/92, Notice 7/8/92—published 10/28/92, effective 12/2/92]</w:t>
      </w:r>
    </w:p>
    <w:p>
      <w:pPr>
        <w:spacing w:before="0" w:after="0"/>
        <w:ind w:left="120"/>
        <w:jc w:val="center"/>
      </w:pPr>
      <w:r>
        <w:rPr>
          <w:rFonts w:ascii="Times New Roman" w:hAnsi="Times New Roman"/>
          <w:b w:val="false"/>
          <w:i w:val="false"/>
          <w:color w:val="000000"/>
          <w:sz w:val="21"/>
        </w:rPr>
        <w:t>[Filed 3/11/94, Notice 12/8/93—published 3/30/94, effective 5/6/94]</w:t>
      </w:r>
    </w:p>
    <w:p>
      <w:pPr>
        <w:spacing w:before="0" w:after="0"/>
        <w:ind w:left="120"/>
        <w:jc w:val="center"/>
      </w:pPr>
      <w:r>
        <w:rPr>
          <w:rFonts w:ascii="Times New Roman" w:hAnsi="Times New Roman"/>
          <w:b w:val="false"/>
          <w:i w:val="false"/>
          <w:color w:val="000000"/>
          <w:sz w:val="21"/>
        </w:rPr>
        <w:t>[Filed 2/10/95, Notice 11/23/94—published 3/1/95, effective 4/5/95]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4/7/95, Notice 1/18/95—published 4/26/95, effective 5/31/95]</w:t>
      </w:r>
    </w:p>
    <w:p>
      <w:pPr>
        <w:spacing w:before="0" w:after="0"/>
        <w:ind w:left="120"/>
        <w:jc w:val="center"/>
      </w:pPr>
      <w:r>
        <w:rPr>
          <w:rFonts w:ascii="Times New Roman" w:hAnsi="Times New Roman"/>
          <w:b w:val="false"/>
          <w:i w:val="false"/>
          <w:color w:val="000000"/>
          <w:sz w:val="21"/>
        </w:rPr>
        <w:t>[Filed 12/8/00, Notice 11/1/00—published 12/27/00, effective 1/31/01]</w:t>
      </w:r>
    </w:p>
    <w:p>
      <w:pPr>
        <w:spacing w:before="0" w:after="0"/>
        <w:ind w:left="120"/>
        <w:jc w:val="center"/>
      </w:pPr>
      <w:r>
        <w:rPr>
          <w:rFonts w:ascii="Times New Roman" w:hAnsi="Times New Roman"/>
          <w:b w:val="false"/>
          <w:i w:val="false"/>
          <w:color w:val="000000"/>
          <w:sz w:val="21"/>
        </w:rPr>
        <w:t>[Filed 5/4/04, Notice 1/21/04—published 5/26/04, effective 6/30/04]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12/30/04, Notice 10/13/04—published 1/19/05, effective 2/23/05]</w:t>
      </w:r>
    </w:p>
    <w:p>
      <w:pPr>
        <w:spacing w:before="0" w:after="0"/>
        <w:ind w:left="120"/>
        <w:jc w:val="center"/>
      </w:pPr>
      <w:r>
        <w:rPr>
          <w:rFonts w:ascii="Times New Roman" w:hAnsi="Times New Roman"/>
          <w:b w:val="false"/>
          <w:i w:val="false"/>
          <w:color w:val="000000"/>
          <w:sz w:val="21"/>
        </w:rPr>
        <w:t>[Filed ARC 4571C</w:t>
      </w:r>
      <w:r>
        <w:rPr>
          <w:rFonts w:ascii="Times New Roman" w:hAnsi="Times New Roman"/>
          <w:b w:val="false"/>
          <w:i w:val="false"/>
          <w:color w:val="000000"/>
          <w:sz w:val="21"/>
        </w:rPr>
        <w:t xml:space="preserve"> (Notice ARC 4350C, IAB 3/27/19)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8358C</w:t>
      </w:r>
      <w:r>
        <w:rPr>
          <w:rFonts w:ascii="Times New Roman" w:hAnsi="Times New Roman"/>
          <w:b w:val="false"/>
          <w:i w:val="false"/>
          <w:color w:val="000000"/>
          <w:sz w:val="21"/>
        </w:rPr>
        <w:t xml:space="preserve"> (Notice ARC 8220C, IAB 9/18/24)</w:t>
      </w:r>
      <w:r>
        <w:rPr>
          <w:rFonts w:ascii="Times New Roman" w:hAnsi="Times New Roman"/>
          <w:b w:val="false"/>
          <w:i w:val="false"/>
          <w:color w:val="000000"/>
          <w:sz w:val="21"/>
        </w:rPr>
        <w:t>, IAB 11/13/24, effective 12/18/24]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History transferred from 641—Chapter 8, IAC Supplement 8/8/90</w:t>
      </w:r>
    </w:p>
    <w:p>
      <w:pPr>
        <w:pBdr>
          <w:bottom w:space="2"/>
        </w:pBdr>
        <w:spacing w:before="0" w:after="0"/>
        <w:ind w:left="120"/>
        <w:jc w:val="both"/>
      </w:pPr>
      <w:r>
        <w:rPr>
          <w:rFonts w:ascii="Times New Roman" w:hAnsi="Times New Roman"/>
          <w:b w:val="false"/>
          <w:i w:val="false"/>
          <w:color w:val="000000"/>
          <w:sz w:val="22"/>
        </w:rPr>
        <w:t>Effective date of 61—9.50(13) to 9.65(13) delayed 70 days by the Administrative Rules Review Committee at its meeting held March 13, 1995; delay lifted by this Committee 4/10/95.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5.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915.pdf" Type="http://schemas.openxmlformats.org/officeDocument/2006/relationships/hyperlink" Id="rId6"/>
    <Relationship TargetMode="External" Target="https://www.legis.iowa.gov/docs/ico/chapter/709.pdf" Type="http://schemas.openxmlformats.org/officeDocument/2006/relationships/hyperlink" Id="rId7"/>
    <Relationship TargetMode="External" Target="https://www.legis.iowa.gov/docs/ico/chapter/13.pdf" Type="http://schemas.openxmlformats.org/officeDocument/2006/relationships/hyperlink" Id="rId8"/>
    <Relationship TargetMode="External" Target="https://www.legis.iowa.gov/docs/ico/chapter/28E.pdf" Type="http://schemas.openxmlformats.org/officeDocument/2006/relationships/hyperlink" Id="rId9"/>
    <Relationship TargetMode="External" Target="https://www.legis.iowa.gov/docs/ico/chapter/915.pdf" Type="http://schemas.openxmlformats.org/officeDocument/2006/relationships/hyperlink" Id="rId10"/>
    <Relationship TargetMode="External" Target="https://www.legis.iowa.gov/docs/ico/chapter/915.pdf" Type="http://schemas.openxmlformats.org/officeDocument/2006/relationships/hyperlink" Id="rId11"/>
    <Relationship TargetMode="External" Target="https://www.legis.iowa.gov/docs/ico/chapter/915.pdf" Type="http://schemas.openxmlformats.org/officeDocument/2006/relationships/hyperlink" Id="rId12"/>
    <Relationship TargetMode="External" Target="https://www.legis.iowa.gov/docs/ico/chapter/915.pdf" Type="http://schemas.openxmlformats.org/officeDocument/2006/relationships/hyperlink" Id="rId13"/>
    <Relationship TargetMode="External" Target="https://www.legis.iowa.gov/docs/ico/chapter/13.pdf" Type="http://schemas.openxmlformats.org/officeDocument/2006/relationships/hyperlink" Id="rId14"/>
    <Relationship TargetMode="External" Target="https://www.legis.iowa.gov/docs/ico/chapter/915.pdf" Type="http://schemas.openxmlformats.org/officeDocument/2006/relationships/hyperlink" Id="rId15"/>
    <Relationship TargetMode="External" Target="https://www.legis.iowa.gov/docs/ico/chapter/915.pdf" Type="http://schemas.openxmlformats.org/officeDocument/2006/relationships/hyperlink" Id="rId16"/>
    <Relationship TargetMode="External" Target="https://www.legis.iowa.gov/docs/ico/chapter/229A.pdf" Type="http://schemas.openxmlformats.org/officeDocument/2006/relationships/hyperlink" Id="rId17"/>
    <Relationship TargetMode="External" Target="https://www.legis.iowa.gov/docs/ico/chapter/915.pdf" Type="http://schemas.openxmlformats.org/officeDocument/2006/relationships/hyperlink" Id="rId18"/>
    <Relationship TargetMode="External" Target="https://www.legis.iowa.gov/docs/ico/chapter/915.pdf" Type="http://schemas.openxmlformats.org/officeDocument/2006/relationships/hyperlink" Id="rId19"/>
    <Relationship TargetMode="External" Target="https://www.legis.iowa.gov/docs/ico/chapter/915.pdf" Type="http://schemas.openxmlformats.org/officeDocument/2006/relationships/hyperlink" Id="rId20"/>
    <Relationship TargetMode="External" Target="https://www.legis.iowa.gov/docs/ico/chapter/915.pdf" Type="http://schemas.openxmlformats.org/officeDocument/2006/relationships/hyperlink" Id="rId21"/>
    <Relationship TargetMode="External" Target="https://www.legis.iowa.gov/docs/ico/chapter/262.pdf" Type="http://schemas.openxmlformats.org/officeDocument/2006/relationships/hyperlink" Id="rId22"/>
    <Relationship TargetMode="External" Target="https://www.legis.iowa.gov/docs/ico/chapter/350.pdf" Type="http://schemas.openxmlformats.org/officeDocument/2006/relationships/hyperlink" Id="rId23"/>
    <Relationship TargetMode="External" Target="https://www.legis.iowa.gov/docs/ico/chapter/456A.pdf" Type="http://schemas.openxmlformats.org/officeDocument/2006/relationships/hyperlink" Id="rId24"/>
    <Relationship TargetMode="External" Target="https://www.legis.iowa.gov/docs/ico/chapter/321.pdf" Type="http://schemas.openxmlformats.org/officeDocument/2006/relationships/hyperlink" Id="rId25"/>
    <Relationship TargetMode="External" Target="https://www.legis.iowa.gov/docs/ico/chapter/232.pdf" Type="http://schemas.openxmlformats.org/officeDocument/2006/relationships/hyperlink" Id="rId26"/>
    <Relationship TargetMode="External" Target="https://www.legis.iowa.gov/docs/ico/chapter/235B.pdf" Type="http://schemas.openxmlformats.org/officeDocument/2006/relationships/hyperlink" Id="rId27"/>
    <Relationship TargetMode="External" Target="https://www.legis.iowa.gov/docs/ico/chapter/236.pdf" Type="http://schemas.openxmlformats.org/officeDocument/2006/relationships/hyperlink" Id="rId28"/>
    <Relationship TargetMode="External" Target="https://www.legis.iowa.gov/docs/ico/chapter/229A.pdf" Type="http://schemas.openxmlformats.org/officeDocument/2006/relationships/hyperlink" Id="rId29"/>
    <Relationship TargetMode="External" Target="https://www.legis.iowa.gov/docs/ico/chapter/915.pdf" Type="http://schemas.openxmlformats.org/officeDocument/2006/relationships/hyperlink" Id="rId30"/>
    <Relationship TargetMode="External" Target="https://www.legis.iowa.gov/docs/ico/chapter/915.pdf" Type="http://schemas.openxmlformats.org/officeDocument/2006/relationships/hyperlink" Id="rId31"/>
    <Relationship TargetMode="External" Target="https://www.legis.iowa.gov/docs/ico/chapter/915.pdf" Type="http://schemas.openxmlformats.org/officeDocument/2006/relationships/hyperlink" Id="rId32"/>
    <Relationship TargetMode="External" Target="https://www.legis.iowa.gov/docs/ico/chapter/723A.pdf" Type="http://schemas.openxmlformats.org/officeDocument/2006/relationships/hyperlink" Id="rId33"/>
    <Relationship TargetMode="External" Target="https://www.legis.iowa.gov/docs/ico/chapter/915.pdf" Type="http://schemas.openxmlformats.org/officeDocument/2006/relationships/hyperlink" Id="rId34"/>
    <Relationship TargetMode="External" Target="https://www.legis.iowa.gov/docs/ico/chapter/915.pdf" Type="http://schemas.openxmlformats.org/officeDocument/2006/relationships/hyperlink" Id="rId35"/>
    <Relationship TargetMode="External" Target="https://www.legis.iowa.gov/docs/ico/chapter/915.pdf" Type="http://schemas.openxmlformats.org/officeDocument/2006/relationships/hyperlink" Id="rId36"/>
    <Relationship TargetMode="External" Target="https://www.legis.iowa.gov/docs/ico/chapter/229A.pdf" Type="http://schemas.openxmlformats.org/officeDocument/2006/relationships/hyperlink" Id="rId37"/>
    <Relationship TargetMode="External" Target="https://www.legis.iowa.gov/docs/ico/chapter/915.pdf" Type="http://schemas.openxmlformats.org/officeDocument/2006/relationships/hyperlink" Id="rId38"/>
    <Relationship TargetMode="External" Target="https://www.legis.iowa.gov/docs/ico/chapter/147.pdf" Type="http://schemas.openxmlformats.org/officeDocument/2006/relationships/hyperlink" Id="rId39"/>
    <Relationship TargetMode="External" Target="https://www.legis.iowa.gov/docs/ico/chapter/148.pdf" Type="http://schemas.openxmlformats.org/officeDocument/2006/relationships/hyperlink" Id="rId40"/>
    <Relationship TargetMode="External" Target="https://www.legis.iowa.gov/docs/ico/chapter/148A.pdf" Type="http://schemas.openxmlformats.org/officeDocument/2006/relationships/hyperlink" Id="rId41"/>
    <Relationship TargetMode="External" Target="https://www.legis.iowa.gov/docs/ico/chapter/148E.pdf" Type="http://schemas.openxmlformats.org/officeDocument/2006/relationships/hyperlink" Id="rId42"/>
    <Relationship TargetMode="External" Target="https://www.legis.iowa.gov/docs/ico/chapter/149.pdf" Type="http://schemas.openxmlformats.org/officeDocument/2006/relationships/hyperlink" Id="rId43"/>
    <Relationship TargetMode="External" Target="https://www.legis.iowa.gov/docs/ico/chapter/151.pdf" Type="http://schemas.openxmlformats.org/officeDocument/2006/relationships/hyperlink" Id="rId44"/>
    <Relationship TargetMode="External" Target="https://www.legis.iowa.gov/docs/ico/chapter/152C.pdf" Type="http://schemas.openxmlformats.org/officeDocument/2006/relationships/hyperlink" Id="rId45"/>
    <Relationship TargetMode="External" Target="https://www.legis.iowa.gov/docs/ico/chapter/153.pdf" Type="http://schemas.openxmlformats.org/officeDocument/2006/relationships/hyperlink" Id="rId46"/>
    <Relationship TargetMode="External" Target="https://www.legis.iowa.gov/docs/iac/rule/61.9.35.pdf" Type="http://schemas.openxmlformats.org/officeDocument/2006/relationships/hyperlink" Id="rId47"/>
    <Relationship TargetMode="External" Target="https://www.legis.iowa.gov/docs/iac/rule/61.9.26.pdf" Type="http://schemas.openxmlformats.org/officeDocument/2006/relationships/hyperlink" Id="rId48"/>
    <Relationship TargetMode="External" Target="https://www.legis.iowa.gov/docs/ico/chapter/915.pdf" Type="http://schemas.openxmlformats.org/officeDocument/2006/relationships/hyperlink" Id="rId49"/>
    <Relationship TargetMode="External" Target="https://www.legis.iowa.gov/docs/iac/rule/61.9.35.pdf" Type="http://schemas.openxmlformats.org/officeDocument/2006/relationships/hyperlink" Id="rId50"/>
    <Relationship TargetMode="External" Target="https://www.legis.iowa.gov/docs/ico/chapter/915.pdf" Type="http://schemas.openxmlformats.org/officeDocument/2006/relationships/hyperlink" Id="rId51"/>
    <Relationship TargetMode="External" Target="https://www.legis.iowa.gov/docs/ico/chapter/915.pdf" Type="http://schemas.openxmlformats.org/officeDocument/2006/relationships/hyperlink" Id="rId52"/>
    <Relationship TargetMode="External" Target="https://www.legis.iowa.gov/docs/ico/chapter/915.pdf" Type="http://schemas.openxmlformats.org/officeDocument/2006/relationships/hyperlink" Id="rId53"/>
    <Relationship TargetMode="External" Target="https://www.legis.iowa.gov/docs/ico/chapter/915.pdf" Type="http://schemas.openxmlformats.org/officeDocument/2006/relationships/hyperlink" Id="rId54"/>
    <Relationship TargetMode="External" Target="https://www.legis.iowa.gov/docs/ico/chapter/915.pdf" Type="http://schemas.openxmlformats.org/officeDocument/2006/relationships/hyperlink" Id="rId55"/>
    <Relationship TargetMode="External" Target="https://www.legis.iowa.gov/docs/ico/chapter/915.pdf" Type="http://schemas.openxmlformats.org/officeDocument/2006/relationships/hyperlink" Id="rId56"/>
    <Relationship TargetMode="External" Target="https://www.legis.iowa.gov/docs/ico/chapter/915.pdf" Type="http://schemas.openxmlformats.org/officeDocument/2006/relationships/hyperlink" Id="rId57"/>
    <Relationship TargetMode="External" Target="https://www.legis.iowa.gov/docs/ico/chapter/915.pdf" Type="http://schemas.openxmlformats.org/officeDocument/2006/relationships/hyperlink" Id="rId58"/>
    <Relationship TargetMode="External" Target="https://www.legis.iowa.gov/docs/ico/chapter/17A.pdf" Type="http://schemas.openxmlformats.org/officeDocument/2006/relationships/hyperlink" Id="rId59"/>
    <Relationship TargetMode="External" Target="https://www.legis.iowa.gov/docs/ico/chapter/17A.pdf" Type="http://schemas.openxmlformats.org/officeDocument/2006/relationships/hyperlink" Id="rId60"/>
    <Relationship TargetMode="External" Target="https://www.legis.iowa.gov/docs/ico/chapter/13.pdf" Type="http://schemas.openxmlformats.org/officeDocument/2006/relationships/hyperlink" Id="rId61"/>
    <Relationship TargetMode="External" Target="https://www.legis.iowa.gov/docs/ico/chapter/236.pdf" Type="http://schemas.openxmlformats.org/officeDocument/2006/relationships/hyperlink" Id="rId62"/>
    <Relationship TargetMode="External" Target="https://www.legis.iowa.gov/docs/ico/chapter/236.pdf" Type="http://schemas.openxmlformats.org/officeDocument/2006/relationships/hyperlink" Id="rId63"/>
    <Relationship TargetMode="External" Target="https://www.legis.iowa.gov/docs/ico/chapter/915.pdf" Type="http://schemas.openxmlformats.org/officeDocument/2006/relationships/hyperlink" Id="rId64"/>
    <Relationship TargetMode="External" Target="https://www.legis.iowa.gov/docs/ico/chapter/915.pdf" Type="http://schemas.openxmlformats.org/officeDocument/2006/relationships/hyperlink" Id="rId65"/>
    <Relationship TargetMode="External" Target="https://www.legis.iowa.gov/docs/ico/chapter/915.pdf" Type="http://schemas.openxmlformats.org/officeDocument/2006/relationships/hyperlink" Id="rId66"/>
    <Relationship TargetMode="External" Target="https://www.legis.iowa.gov/docs/iac/rule/61.9.51.pdf" Type="http://schemas.openxmlformats.org/officeDocument/2006/relationships/hyperlink" Id="rId67"/>
    <Relationship TargetMode="External" Target="https://www.legis.iowa.gov/docs/ico/chapter/915.pdf" Type="http://schemas.openxmlformats.org/officeDocument/2006/relationships/hyperlink" Id="rId68"/>
    <Relationship TargetMode="External" Target="https://www.legis.iowa.gov/docs/iac/rule/61.9.79.pdf" Type="http://schemas.openxmlformats.org/officeDocument/2006/relationships/hyperlink" Id="rId69"/>
    <Relationship TargetMode="External" Target="https://www.legis.iowa.gov/docs/iac/rule/61.9.79.pdf" Type="http://schemas.openxmlformats.org/officeDocument/2006/relationships/hyperlink" Id="rId70"/>
    <Relationship TargetMode="External" Target="https://www.legis.iowa.gov/docs/ico/chapter/272C.pdf" Type="http://schemas.openxmlformats.org/officeDocument/2006/relationships/hyperlink" Id="rId71"/>
    <Relationship TargetMode="External" Target="https://www.legis.iowa.gov/docs/ico/chapter/915.pdf" Type="http://schemas.openxmlformats.org/officeDocument/2006/relationships/hyperlink" Id="rId72"/>
    <Relationship TargetMode="External" Target="https://www.legis.iowa.gov/docs/ico/chapter/709.pdf" Type="http://schemas.openxmlformats.org/officeDocument/2006/relationships/hyperlink" Id="rId73"/>
    <Relationship TargetMode="External" Target="https://www.legis.iowa.gov/docs/ico/chapter/726.pdf" Type="http://schemas.openxmlformats.org/officeDocument/2006/relationships/hyperlink" Id="rId74"/>
    <Relationship TargetMode="External" Target="https://www.legis.iowa.gov/docs/ico/chapter/709.pdf" Type="http://schemas.openxmlformats.org/officeDocument/2006/relationships/hyperlink" Id="rId75"/>
    <Relationship TargetMode="External" Target="https://www.legis.iowa.gov/docs/ico/chapter/726.pdf" Type="http://schemas.openxmlformats.org/officeDocument/2006/relationships/hyperlink" Id="rId76"/>
    <Relationship TargetMode="External" Target="https://www.legis.iowa.gov/docs/ico/chapter/915.pdf" Type="http://schemas.openxmlformats.org/officeDocument/2006/relationships/hyperlink" Id="rId77"/>
    <Relationship TargetMode="External" Target="https://www.legis.iowa.gov/docs/ico/chapter/232.pdf" Type="http://schemas.openxmlformats.org/officeDocument/2006/relationships/hyperlink" Id="rId78"/>
    <Relationship TargetMode="External" Target="https://www.legis.iowa.gov/docs/iac/rule/61.9.79.pdf" Type="http://schemas.openxmlformats.org/officeDocument/2006/relationships/hyperlink" Id="rId79"/>
    <Relationship TargetMode="External" Target="https://www.legis.iowa.gov/docs/ico/chapter/709.pdf" Type="http://schemas.openxmlformats.org/officeDocument/2006/relationships/hyperlink" Id="rId80"/>
    <Relationship TargetMode="External" Target="https://www.legis.iowa.gov/docs/ico/chapter/726.pdf" Type="http://schemas.openxmlformats.org/officeDocument/2006/relationships/hyperlink" Id="rId81"/>
    <Relationship TargetMode="External" Target="https://www.legis.iowa.gov/docs/ico/chapter/710.pdf" Type="http://schemas.openxmlformats.org/officeDocument/2006/relationships/hyperlink" Id="rId82"/>
    <Relationship TargetMode="External" Target="https://www.legis.iowa.gov/docs/ico/chapter/910.pdf" Type="http://schemas.openxmlformats.org/officeDocument/2006/relationships/hyperlink" Id="rId83"/>
    <Relationship TargetMode="External" Target="https://www.legis.iowa.gov/docs/ico/chapter/915.pdf" Type="http://schemas.openxmlformats.org/officeDocument/2006/relationships/hyperlink" Id="rId8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