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22</w:t>
      </w:r>
    </w:p>
    <w:p>
      <w:pPr>
        <w:spacing w:before="0" w:after="0"/>
        <w:ind w:left="120"/>
        <w:jc w:val="center"/>
      </w:pPr>
      <w:r>
        <w:rPr>
          <w:rFonts w:ascii="Times New Roman" w:hAnsi="Times New Roman"/>
          <w:b w:val="false"/>
          <w:i w:val="false"/>
          <w:color w:val="000000"/>
          <w:sz w:val="21"/>
        </w:rPr>
        <w:t>SENIOR YEAR PLUS PROGRAM</w:t>
      </w:r>
    </w:p>
    <w:p>
      <w:pPr>
        <w:pBdr>
          <w:top w:space="10"/>
        </w:pBdr>
        <w:spacing w:before="0" w:after="0"/>
        <w:ind w:left="120"/>
        <w:jc w:val="center"/>
      </w:pPr>
      <w:r>
        <w:rPr>
          <w:rFonts w:ascii="Times New Roman" w:hAnsi="Times New Roman"/>
          <w:b w:val="false"/>
          <w:i w:val="false"/>
          <w:color w:val="000000"/>
          <w:sz w:val="16"/>
        </w:rPr>
        <w:t xml:space="preserve">DIVISION I </w:t>
      </w:r>
    </w:p>
    <w:p>
      <w:pPr>
        <w:pBdr>
          <w:bottom w:space="10"/>
        </w:pBdr>
        <w:spacing w:before="0" w:after="0"/>
        <w:ind w:left="120"/>
        <w:jc w:val="center"/>
      </w:pPr>
      <w:r>
        <w:rPr>
          <w:rFonts w:ascii="Times New Roman" w:hAnsi="Times New Roman"/>
          <w:b w:val="false"/>
          <w:i w:val="false"/>
          <w:color w:val="000000"/>
          <w:sz w:val="16"/>
        </w:rPr>
        <w:t>GENERAL PROVISIONS</w:t>
      </w:r>
    </w:p>
    <w:p>
      <w:pPr>
        <w:spacing w:before="0" w:after="0"/>
        <w:ind w:left="120"/>
        <w:jc w:val="both"/>
      </w:pPr>
      <w:r>
        <w:rPr>
          <w:rFonts w:ascii="Times New Roman" w:hAnsi="Times New Roman"/>
          <w:b/>
          <w:i w:val="false"/>
          <w:color w:val="000000"/>
          <w:sz w:val="22"/>
        </w:rPr>
        <w:t>281—22.1</w:t>
      </w:r>
      <w:r>
        <w:rPr>
          <w:rFonts w:ascii="Times New Roman" w:hAnsi="Times New Roman"/>
          <w:b/>
          <w:i w:val="false"/>
          <w:color w:val="000000"/>
          <w:sz w:val="22"/>
        </w:rPr>
        <w:t xml:space="preserve">(261E)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purposes of this chapter, the indicated terms are defined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“Concurrent enrollment” </w:t>
      </w:r>
      <w:r>
        <w:rPr>
          <w:rFonts w:ascii="Times New Roman" w:hAnsi="Times New Roman"/>
          <w:b w:val="false"/>
          <w:i w:val="false"/>
          <w:color w:val="000000"/>
          <w:sz w:val="22"/>
        </w:rPr>
        <w:t xml:space="preserve">means the same as defined in Iowa Code section </w:t>
      </w:r>
      <w:hyperlink r:id="rId4">
        <w:r>
          <w:rPr>
            <w:rStyle w:val="Hyperlink"/>
            <w:rFonts w:ascii="Times New Roman" w:hAnsi="Times New Roman"/>
            <w:b w:val="false"/>
            <w:i w:val="false"/>
            <w:color w:val="000000"/>
            <w:sz w:val="22"/>
          </w:rPr>
          <w:t>261E.2(1)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department of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the department of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“Dually enrolled” </w:t>
      </w:r>
      <w:r>
        <w:rPr>
          <w:rFonts w:ascii="Times New Roman" w:hAnsi="Times New Roman"/>
          <w:b w:val="false"/>
          <w:i w:val="false"/>
          <w:color w:val="000000"/>
          <w:sz w:val="22"/>
        </w:rPr>
        <w:t xml:space="preserve">means the status of a student who receives competent private instruction under Iowa Code chapter </w:t>
      </w:r>
      <w:hyperlink r:id="rId5">
        <w:r>
          <w:rPr>
            <w:rStyle w:val="Hyperlink"/>
            <w:rFonts w:ascii="Times New Roman" w:hAnsi="Times New Roman"/>
            <w:b w:val="false"/>
            <w:i w:val="false"/>
            <w:color w:val="000000"/>
            <w:sz w:val="22"/>
          </w:rPr>
          <w:t>299A</w:t>
        </w:r>
      </w:hyperlink>
      <w:r>
        <w:rPr>
          <w:rFonts w:ascii="Times New Roman" w:hAnsi="Times New Roman"/>
          <w:b w:val="false"/>
          <w:i w:val="false"/>
          <w:color w:val="000000"/>
          <w:sz w:val="22"/>
        </w:rPr>
        <w:t xml:space="preserve"> and whose parent, guardian, or legal custodian has registered the student pursuant to Iowa Code section </w:t>
      </w:r>
      <w:hyperlink r:id="rId6">
        <w:r>
          <w:rPr>
            <w:rStyle w:val="Hyperlink"/>
            <w:rFonts w:ascii="Times New Roman" w:hAnsi="Times New Roman"/>
            <w:b w:val="false"/>
            <w:i w:val="false"/>
            <w:color w:val="000000"/>
            <w:sz w:val="22"/>
          </w:rPr>
          <w:t>299A.8</w:t>
        </w:r>
      </w:hyperlink>
      <w:r>
        <w:rPr>
          <w:rFonts w:ascii="Times New Roman" w:hAnsi="Times New Roman"/>
          <w:b w:val="false"/>
          <w:i w:val="false"/>
          <w:color w:val="000000"/>
          <w:sz w:val="22"/>
        </w:rPr>
        <w:t xml:space="preserve"> in a school district for any of the purposes listed therein, including, for purposes of these rules, participation in any part of the senior year plus program on the same basis as public school students but subject to the enrollment limitation contained in </w:t>
      </w:r>
      <w:hyperlink r:id="rId7">
        <w:r>
          <w:rPr>
            <w:rStyle w:val="Hyperlink"/>
            <w:rFonts w:ascii="Times New Roman" w:hAnsi="Times New Roman"/>
            <w:b w:val="false"/>
            <w:i w:val="false"/>
            <w:color w:val="000000"/>
            <w:sz w:val="22"/>
          </w:rPr>
          <w:t>281—Chapter 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“Eligible postsecondary institution” </w:t>
      </w:r>
      <w:r>
        <w:rPr>
          <w:rFonts w:ascii="Times New Roman" w:hAnsi="Times New Roman"/>
          <w:b w:val="false"/>
          <w:i w:val="false"/>
          <w:color w:val="000000"/>
          <w:sz w:val="22"/>
        </w:rPr>
        <w:t xml:space="preserve">means the same as defined in Iowa Code section </w:t>
      </w:r>
      <w:hyperlink r:id="rId8">
        <w:r>
          <w:rPr>
            <w:rStyle w:val="Hyperlink"/>
            <w:rFonts w:ascii="Times New Roman" w:hAnsi="Times New Roman"/>
            <w:b w:val="false"/>
            <w:i w:val="false"/>
            <w:color w:val="000000"/>
            <w:sz w:val="22"/>
          </w:rPr>
          <w:t>261E.2(4)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“Institution” </w:t>
      </w:r>
      <w:r>
        <w:rPr>
          <w:rFonts w:ascii="Times New Roman" w:hAnsi="Times New Roman"/>
          <w:b w:val="false"/>
          <w:i w:val="false"/>
          <w:color w:val="000000"/>
          <w:sz w:val="22"/>
        </w:rPr>
        <w:t xml:space="preserve">means the same as defined in Iowa Code section </w:t>
      </w:r>
      <w:hyperlink r:id="rId9">
        <w:r>
          <w:rPr>
            <w:rStyle w:val="Hyperlink"/>
            <w:rFonts w:ascii="Times New Roman" w:hAnsi="Times New Roman"/>
            <w:b w:val="false"/>
            <w:i w:val="false"/>
            <w:color w:val="000000"/>
            <w:sz w:val="22"/>
          </w:rPr>
          <w:t>261E.2(5)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“School board” </w:t>
      </w:r>
      <w:r>
        <w:rPr>
          <w:rFonts w:ascii="Times New Roman" w:hAnsi="Times New Roman"/>
          <w:b w:val="false"/>
          <w:i w:val="false"/>
          <w:color w:val="000000"/>
          <w:sz w:val="22"/>
        </w:rPr>
        <w:t>means the board of directors of a school district or a collaboration of boards of directors of school districts.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“State board” </w:t>
      </w:r>
      <w:r>
        <w:rPr>
          <w:rFonts w:ascii="Times New Roman" w:hAnsi="Times New Roman"/>
          <w:b w:val="false"/>
          <w:i w:val="false"/>
          <w:color w:val="000000"/>
          <w:sz w:val="22"/>
        </w:rPr>
        <w:t>means the state board of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“Student” </w:t>
      </w:r>
      <w:r>
        <w:rPr>
          <w:rFonts w:ascii="Times New Roman" w:hAnsi="Times New Roman"/>
          <w:b w:val="false"/>
          <w:i w:val="false"/>
          <w:color w:val="000000"/>
          <w:sz w:val="22"/>
        </w:rPr>
        <w:t xml:space="preserve">means the same as defined in Iowa Code section </w:t>
      </w:r>
      <w:hyperlink r:id="rId10">
        <w:r>
          <w:rPr>
            <w:rStyle w:val="Hyperlink"/>
            <w:rFonts w:ascii="Times New Roman" w:hAnsi="Times New Roman"/>
            <w:b w:val="false"/>
            <w:i w:val="false"/>
            <w:color w:val="000000"/>
            <w:sz w:val="22"/>
          </w:rPr>
          <w:t>261E.2(8)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8048C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281—22.2</w:t>
      </w:r>
      <w:r>
        <w:rPr>
          <w:rFonts w:ascii="Times New Roman" w:hAnsi="Times New Roman"/>
          <w:b/>
          <w:i w:val="false"/>
          <w:color w:val="000000"/>
          <w:sz w:val="22"/>
        </w:rPr>
        <w:t xml:space="preserve">(261E) </w:t>
      </w:r>
      <w:r>
        <w:rPr>
          <w:rFonts w:ascii="Times New Roman" w:hAnsi="Times New Roman"/>
          <w:b/>
          <w:i w:val="false"/>
          <w:color w:val="000000"/>
          <w:sz w:val="22"/>
        </w:rPr>
        <w:t xml:space="preserve">Student eligibility. </w:t>
      </w:r>
      <w:r>
        <w:rPr>
          <w:rFonts w:ascii="Times New Roman" w:hAnsi="Times New Roman"/>
          <w:b w:val="false"/>
          <w:i w:val="false"/>
          <w:color w:val="000000"/>
          <w:sz w:val="22"/>
        </w:rPr>
        <w:t xml:space="preserve">A student is eligible if the student satisfies the provisions of Iowa Code section </w:t>
      </w:r>
      <w:hyperlink r:id="rId11">
        <w:r>
          <w:rPr>
            <w:rStyle w:val="Hyperlink"/>
            <w:rFonts w:ascii="Times New Roman" w:hAnsi="Times New Roman"/>
            <w:b w:val="false"/>
            <w:i w:val="false"/>
            <w:color w:val="000000"/>
            <w:sz w:val="22"/>
          </w:rPr>
          <w:t>261E.3(1)</w:t>
        </w:r>
      </w:hyperlink>
      <w:r>
        <w:rPr>
          <w:rFonts w:ascii="Times New Roman" w:hAnsi="Times New Roman"/>
          <w:b w:val="false"/>
          <w:i w:val="false"/>
          <w:color w:val="000000"/>
          <w:sz w:val="22"/>
        </w:rPr>
        <w:t>. If the student was absent for the most recent administration of the statewide assessment, and such absence was not excused by the student’s school of enrollment, the student is deemed not to be proficient in any of the content areas. Measures of college readiness may be jointly agreed upon by the school board and the eligible postsecondary institution that allow a student to demonstrate competency in one or all of the required subject areas. Institutions will ensure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22.2(1)</w:t>
      </w:r>
      <w:r>
        <w:rPr>
          <w:rFonts w:ascii="Times New Roman" w:hAnsi="Times New Roman"/>
          <w:b w:val="false"/>
          <w:i w:val="false"/>
          <w:color w:val="000000"/>
          <w:sz w:val="22"/>
        </w:rPr>
        <w:t> </w:t>
      </w:r>
      <w:r>
        <w:rPr>
          <w:rFonts w:ascii="Times New Roman" w:hAnsi="Times New Roman"/>
          <w:b w:val="false"/>
          <w:i w:val="false"/>
          <w:color w:val="000000"/>
          <w:sz w:val="22"/>
        </w:rPr>
        <w:t>The measures of college readiness align with the proficiency levels established for the statewide assessment and reflect the competence of entering first-year students at the postsecondary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22.2(2)</w:t>
      </w:r>
      <w:r>
        <w:rPr>
          <w:rFonts w:ascii="Times New Roman" w:hAnsi="Times New Roman"/>
          <w:b w:val="false"/>
          <w:i w:val="false"/>
          <w:color w:val="000000"/>
          <w:sz w:val="22"/>
        </w:rPr>
        <w:t> </w:t>
      </w:r>
      <w:r>
        <w:rPr>
          <w:rFonts w:ascii="Times New Roman" w:hAnsi="Times New Roman"/>
          <w:b w:val="false"/>
          <w:i w:val="false"/>
          <w:color w:val="000000"/>
          <w:sz w:val="22"/>
        </w:rPr>
        <w:t>The measures of college readiness are specified in a contract entered into by the participating institutions.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8048C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281—22.3</w:t>
      </w:r>
      <w:r>
        <w:rPr>
          <w:rFonts w:ascii="Times New Roman" w:hAnsi="Times New Roman"/>
          <w:b/>
          <w:i w:val="false"/>
          <w:color w:val="000000"/>
          <w:sz w:val="22"/>
        </w:rPr>
        <w:t xml:space="preserve">(261E) </w:t>
      </w:r>
      <w:r>
        <w:rPr>
          <w:rFonts w:ascii="Times New Roman" w:hAnsi="Times New Roman"/>
          <w:b/>
          <w:i w:val="false"/>
          <w:color w:val="000000"/>
          <w:sz w:val="22"/>
        </w:rPr>
        <w:t xml:space="preserve">Teacher eligibility, responsibilities. </w:t>
      </w:r>
      <w:r>
        <w:rPr>
          <w:rFonts w:ascii="Times New Roman" w:hAnsi="Times New Roman"/>
          <w:b w:val="false"/>
          <w:i w:val="false"/>
          <w:color w:val="000000"/>
          <w:sz w:val="22"/>
        </w:rPr>
        <w:t xml:space="preserve">A teacher employed to provide instruction under this chapter is eligible if the teacher satisfies the criteria and responsibilities of Iowa Code section </w:t>
      </w:r>
      <w:hyperlink r:id="rId12">
        <w:r>
          <w:rPr>
            <w:rStyle w:val="Hyperlink"/>
            <w:rFonts w:ascii="Times New Roman" w:hAnsi="Times New Roman"/>
            <w:b w:val="false"/>
            <w:i w:val="false"/>
            <w:color w:val="000000"/>
            <w:sz w:val="22"/>
          </w:rPr>
          <w:t>261E.3(2)</w:t>
        </w:r>
      </w:hyperlink>
      <w:r>
        <w:rPr>
          <w:rFonts w:ascii="Times New Roman" w:hAnsi="Times New Roman"/>
          <w:b w:val="false"/>
          <w:i w:val="false"/>
          <w:color w:val="000000"/>
          <w:sz w:val="22"/>
        </w:rPr>
        <w:t xml:space="preserve">. The background investigation also applies to a teacher or instructor who is employed by an eligible postsecondary institution if the teacher or instructor provides instruction under this chapter at a school district facility, an accredited nonpublic school facility, or a neutral site. For purposes of this rule, “neutral site” means the same as defined in Iowa Code section </w:t>
      </w:r>
      <w:hyperlink r:id="rId13">
        <w:r>
          <w:rPr>
            <w:rStyle w:val="Hyperlink"/>
            <w:rFonts w:ascii="Times New Roman" w:hAnsi="Times New Roman"/>
            <w:b w:val="false"/>
            <w:i w:val="false"/>
            <w:color w:val="000000"/>
            <w:sz w:val="22"/>
          </w:rPr>
          <w:t>261E.3(2)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8048C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281—22.4</w:t>
      </w:r>
      <w:r>
        <w:rPr>
          <w:rFonts w:ascii="Times New Roman" w:hAnsi="Times New Roman"/>
          <w:b/>
          <w:i w:val="false"/>
          <w:color w:val="000000"/>
          <w:sz w:val="22"/>
        </w:rPr>
        <w:t xml:space="preserve">(261E) </w:t>
      </w:r>
      <w:r>
        <w:rPr>
          <w:rFonts w:ascii="Times New Roman" w:hAnsi="Times New Roman"/>
          <w:b/>
          <w:i w:val="false"/>
          <w:color w:val="000000"/>
          <w:sz w:val="22"/>
        </w:rPr>
        <w:t xml:space="preserve">Institutional eligibility, responsibilities.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22.4(1)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Institutions are governed by the provisions of Iowa Code section </w:t>
      </w:r>
      <w:hyperlink r:id="rId14">
        <w:r>
          <w:rPr>
            <w:rStyle w:val="Hyperlink"/>
            <w:rFonts w:ascii="Times New Roman" w:hAnsi="Times New Roman"/>
            <w:b w:val="false"/>
            <w:i w:val="false"/>
            <w:color w:val="000000"/>
            <w:sz w:val="22"/>
          </w:rPr>
          <w:t>261E.3(3)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If a fee is charged to other students of the eligible postsecondary institution for any of the services specified in Iowa Code section </w:t>
      </w:r>
      <w:hyperlink r:id="rId15">
        <w:r>
          <w:rPr>
            <w:rStyle w:val="Hyperlink"/>
            <w:rFonts w:ascii="Times New Roman" w:hAnsi="Times New Roman"/>
            <w:b w:val="false"/>
            <w:i w:val="false"/>
            <w:color w:val="000000"/>
            <w:sz w:val="22"/>
          </w:rPr>
          <w:t>261E.3(3)</w:t>
        </w:r>
      </w:hyperlink>
      <w:r>
        <w:rPr>
          <w:rFonts w:ascii="Times New Roman" w:hAnsi="Times New Roman"/>
          <w:b w:val="false"/>
          <w:i/>
          <w:color w:val="000000"/>
          <w:sz w:val="22"/>
        </w:rPr>
        <w:t>“b,”</w:t>
      </w:r>
      <w:r>
        <w:rPr>
          <w:rFonts w:ascii="Times New Roman" w:hAnsi="Times New Roman"/>
          <w:b w:val="false"/>
          <w:i w:val="false"/>
          <w:color w:val="000000"/>
          <w:sz w:val="22"/>
        </w:rPr>
        <w:t xml:space="preserve"> that fee may also be charged to participating secondary students on the same basis as it is charged to postsecondary students.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institutions will provide the teacher or instructor appropriate orientation and training in secondary and postsecondary professional development related to curriculum, pedagogy, assessment, policy implementation, technology, and discipline issues.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institutions will provide the teacher or instructor adequate notification of an assignment to teach a course under this chapter, as well as adequate preparation time to ensure that the course is taught at the college level. The specifics of this paragraph are locally determined.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22.4(2)</w:t>
      </w:r>
      <w:r>
        <w:rPr>
          <w:rFonts w:ascii="Times New Roman" w:hAnsi="Times New Roman"/>
          <w:b w:val="false"/>
          <w:i w:val="false"/>
          <w:color w:val="000000"/>
          <w:sz w:val="22"/>
        </w:rPr>
        <w:t> </w:t>
      </w:r>
      <w:r>
        <w:rPr>
          <w:rFonts w:ascii="Times New Roman" w:hAnsi="Times New Roman"/>
          <w:b w:val="false"/>
          <w:i/>
          <w:color w:val="000000"/>
          <w:sz w:val="22"/>
        </w:rPr>
        <w:t xml:space="preserve">Requirements of school district or accredited nonpublic school only.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under Iowa Code sections </w:t>
      </w:r>
      <w:hyperlink r:id="rId16">
        <w:r>
          <w:rPr>
            <w:rStyle w:val="Hyperlink"/>
            <w:rFonts w:ascii="Times New Roman" w:hAnsi="Times New Roman"/>
            <w:b w:val="false"/>
            <w:i w:val="false"/>
            <w:color w:val="000000"/>
            <w:sz w:val="22"/>
          </w:rPr>
          <w:t>257.11(3)</w:t>
        </w:r>
      </w:hyperlink>
      <w:r>
        <w:rPr>
          <w:rFonts w:ascii="Times New Roman" w:hAnsi="Times New Roman"/>
          <w:b w:val="false"/>
          <w:i/>
          <w:color w:val="000000"/>
          <w:sz w:val="22"/>
        </w:rPr>
        <w:t>“c,”</w:t>
      </w:r>
      <w:hyperlink r:id="rId17">
        <w:r>
          <w:rPr>
            <w:rStyle w:val="Hyperlink"/>
            <w:rFonts w:ascii="Times New Roman" w:hAnsi="Times New Roman"/>
            <w:b w:val="false"/>
            <w:i w:val="false"/>
            <w:color w:val="000000"/>
            <w:sz w:val="22"/>
          </w:rPr>
          <w:t>261E.8(2)</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w:t>
      </w:r>
      <w:hyperlink r:id="rId18">
        <w:r>
          <w:rPr>
            <w:rStyle w:val="Hyperlink"/>
            <w:rFonts w:ascii="Times New Roman" w:hAnsi="Times New Roman"/>
            <w:b w:val="false"/>
            <w:i w:val="false"/>
            <w:color w:val="000000"/>
            <w:sz w:val="22"/>
          </w:rPr>
          <w:t>279.50A</w:t>
        </w:r>
      </w:hyperlink>
      <w:r>
        <w:rPr>
          <w:rFonts w:ascii="Times New Roman" w:hAnsi="Times New Roman"/>
          <w:b w:val="false"/>
          <w:i w:val="false"/>
          <w:color w:val="000000"/>
          <w:sz w:val="22"/>
        </w:rPr>
        <w:t>, the school district or accredited nonpublic school shall certify annually to the department, as an assurance in the district’s or accredited nonpublic school’s basic education data survey, that the course provided to a high school student for postsecondary credit in accordance with this chapter supplements, and does not supplant, a course provided by the school district or accredited nonpublic school in which the student is enrolled. For purposes of these rules, to comply with the supplement-not-supplant requirement, the content of a course provided to a high school student for postsecondary credit is not to consist of substantially the same concepts and skills as the content of a course provided by the school district or accredited nonpublic school.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teacher or instructor is employed by an eligible postsecondary institution, the school district or accredited nonpublic school will pay for the background investigation but may request reimbursement of the actual cost to the eligible postsecondary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22.4(3)</w:t>
      </w:r>
      <w:r>
        <w:rPr>
          <w:rFonts w:ascii="Times New Roman" w:hAnsi="Times New Roman"/>
          <w:b w:val="false"/>
          <w:i w:val="false"/>
          <w:color w:val="000000"/>
          <w:sz w:val="22"/>
        </w:rPr>
        <w:t> </w:t>
      </w:r>
      <w:r>
        <w:rPr>
          <w:rFonts w:ascii="Times New Roman" w:hAnsi="Times New Roman"/>
          <w:b w:val="false"/>
          <w:i/>
          <w:color w:val="000000"/>
          <w:sz w:val="22"/>
        </w:rPr>
        <w:t xml:space="preserve">Requirements of eligible postsecondary institution only.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eligible postsecondary institutions providing programming under this chapter will include the unique student identifier assigned to students while in the kindergarten through grade 12 system as a part of the institution’s student data management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Eligible postsecondary institutions providing programming under this chapter will cooperate with the department on data requests related to the programming.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All eligible postsecondary institutions providing programming under this chapter are to collect data and report to the department on the proportion of females and minorities enrolled in science-, technology-, engineering-, and mathematics-oriented educational opportunities provided in accordance with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eligible postsecondary institution will provide the teacher or instructor with ongoing communication and access to instructional resources and support and encourage the teacher or instructor to participate in the postsecondary institution’s academic departmental activities.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8048C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DIVISION II</w:t>
      </w:r>
    </w:p>
    <w:p>
      <w:pPr>
        <w:pBdr>
          <w:bottom w:space="10"/>
        </w:pBdr>
        <w:spacing w:before="0" w:after="0"/>
        <w:ind w:left="120"/>
        <w:jc w:val="center"/>
      </w:pPr>
      <w:r>
        <w:rPr>
          <w:rFonts w:ascii="Times New Roman" w:hAnsi="Times New Roman"/>
          <w:b w:val="false"/>
          <w:i w:val="false"/>
          <w:color w:val="000000"/>
          <w:sz w:val="16"/>
        </w:rPr>
        <w:t>ADVANCED PLACEMENT PROGRAM</w:t>
      </w:r>
    </w:p>
    <w:p>
      <w:pPr>
        <w:spacing w:before="0" w:after="0"/>
        <w:ind w:left="120"/>
        <w:jc w:val="both"/>
      </w:pPr>
      <w:r>
        <w:rPr>
          <w:rFonts w:ascii="Times New Roman" w:hAnsi="Times New Roman"/>
          <w:b/>
          <w:i w:val="false"/>
          <w:color w:val="000000"/>
          <w:sz w:val="22"/>
        </w:rPr>
        <w:t>281—22.5</w:t>
      </w:r>
      <w:r>
        <w:rPr>
          <w:rFonts w:ascii="Times New Roman" w:hAnsi="Times New Roman"/>
          <w:b/>
          <w:i w:val="false"/>
          <w:color w:val="000000"/>
          <w:sz w:val="22"/>
        </w:rPr>
        <w:t xml:space="preserve">(261E) </w:t>
      </w:r>
      <w:r>
        <w:rPr>
          <w:rFonts w:ascii="Times New Roman" w:hAnsi="Times New Roman"/>
          <w:b/>
          <w:i w:val="false"/>
          <w:color w:val="000000"/>
          <w:sz w:val="22"/>
        </w:rPr>
        <w:t xml:space="preserve">School district obligations. </w:t>
      </w:r>
      <w:r>
        <w:rPr>
          <w:rFonts w:ascii="Times New Roman" w:hAnsi="Times New Roman"/>
          <w:b w:val="false"/>
          <w:i w:val="false"/>
          <w:color w:val="000000"/>
          <w:sz w:val="22"/>
        </w:rPr>
        <w:t xml:space="preserve">School districts will make advanced placement courses available to students under the terms of Iowa Code section </w:t>
      </w:r>
      <w:hyperlink r:id="rId19">
        <w:r>
          <w:rPr>
            <w:rStyle w:val="Hyperlink"/>
            <w:rFonts w:ascii="Times New Roman" w:hAnsi="Times New Roman"/>
            <w:b w:val="false"/>
            <w:i w:val="false"/>
            <w:color w:val="000000"/>
            <w:sz w:val="22"/>
          </w:rPr>
          <w:t>261E.4</w:t>
        </w:r>
      </w:hyperlink>
      <w:r>
        <w:rPr>
          <w:rFonts w:ascii="Times New Roman" w:hAnsi="Times New Roman"/>
          <w:b w:val="false"/>
          <w:i w:val="false"/>
          <w:color w:val="000000"/>
          <w:sz w:val="22"/>
        </w:rPr>
        <w:t>, including making such coursework available to a dually enrolled student under competent private instruction or to a student enrolled in an accredited nonpublic school located in the district if the student meets the same criteria as a regularly enrolled student of the district. An international baccalaureate program is not an advanced placement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8048C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281—22.6</w:t>
      </w:r>
      <w:r>
        <w:rPr>
          <w:rFonts w:ascii="Times New Roman" w:hAnsi="Times New Roman"/>
          <w:b/>
          <w:i w:val="false"/>
          <w:color w:val="000000"/>
          <w:sz w:val="22"/>
        </w:rPr>
        <w:t xml:space="preserve">(261E) </w:t>
      </w:r>
      <w:r>
        <w:rPr>
          <w:rFonts w:ascii="Times New Roman" w:hAnsi="Times New Roman"/>
          <w:b/>
          <w:i w:val="false"/>
          <w:color w:val="000000"/>
          <w:sz w:val="22"/>
        </w:rPr>
        <w:t xml:space="preserve">Obligations regarding registration for advanced placement examinations. </w:t>
      </w:r>
      <w:r>
        <w:rPr>
          <w:rFonts w:ascii="Times New Roman" w:hAnsi="Times New Roman"/>
          <w:b w:val="false"/>
          <w:i w:val="false"/>
          <w:color w:val="000000"/>
          <w:sz w:val="22"/>
        </w:rPr>
        <w:t xml:space="preserve">The board of directors of a school district or authorities in charge of an accredited nonpublic school are governed by Iowa Code section </w:t>
      </w:r>
      <w:hyperlink r:id="rId20">
        <w:r>
          <w:rPr>
            <w:rStyle w:val="Hyperlink"/>
            <w:rFonts w:ascii="Times New Roman" w:hAnsi="Times New Roman"/>
            <w:b w:val="false"/>
            <w:i w:val="false"/>
            <w:color w:val="000000"/>
            <w:sz w:val="22"/>
          </w:rPr>
          <w:t>261E.5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8048C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DIVISION III</w:t>
      </w:r>
    </w:p>
    <w:p>
      <w:pPr>
        <w:pBdr>
          <w:bottom w:space="10"/>
        </w:pBdr>
        <w:spacing w:before="0" w:after="0"/>
        <w:ind w:left="120"/>
        <w:jc w:val="center"/>
      </w:pPr>
      <w:r>
        <w:rPr>
          <w:rFonts w:ascii="Times New Roman" w:hAnsi="Times New Roman"/>
          <w:b w:val="false"/>
          <w:i w:val="false"/>
          <w:color w:val="000000"/>
          <w:sz w:val="16"/>
        </w:rPr>
        <w:t>CONCURRENT ENROLLMENT PROGRAM</w:t>
      </w:r>
    </w:p>
    <w:p>
      <w:pPr>
        <w:spacing w:before="0" w:after="0"/>
        <w:ind w:left="120"/>
        <w:jc w:val="both"/>
      </w:pPr>
      <w:r>
        <w:rPr>
          <w:rFonts w:ascii="Times New Roman" w:hAnsi="Times New Roman"/>
          <w:b/>
          <w:i w:val="false"/>
          <w:color w:val="000000"/>
          <w:sz w:val="22"/>
        </w:rPr>
        <w:t>281—22.7</w:t>
      </w:r>
      <w:r>
        <w:rPr>
          <w:rFonts w:ascii="Times New Roman" w:hAnsi="Times New Roman"/>
          <w:b/>
          <w:i w:val="false"/>
          <w:color w:val="000000"/>
          <w:sz w:val="22"/>
        </w:rPr>
        <w:t xml:space="preserve">(261E) </w:t>
      </w:r>
      <w:r>
        <w:rPr>
          <w:rFonts w:ascii="Times New Roman" w:hAnsi="Times New Roman"/>
          <w:b/>
          <w:i w:val="false"/>
          <w:color w:val="000000"/>
          <w:sz w:val="22"/>
        </w:rPr>
        <w:t xml:space="preserve">Applicability. </w:t>
      </w:r>
      <w:r>
        <w:rPr>
          <w:rFonts w:ascii="Times New Roman" w:hAnsi="Times New Roman"/>
          <w:b w:val="false"/>
          <w:i w:val="false"/>
          <w:color w:val="000000"/>
          <w:sz w:val="22"/>
        </w:rPr>
        <w:t xml:space="preserve">The concurrent enrollment program, also known as district-to-community college sharing, is subject to the provisions of Iowa Code section </w:t>
      </w:r>
      <w:hyperlink r:id="rId21">
        <w:r>
          <w:rPr>
            <w:rStyle w:val="Hyperlink"/>
            <w:rFonts w:ascii="Times New Roman" w:hAnsi="Times New Roman"/>
            <w:b w:val="false"/>
            <w:i w:val="false"/>
            <w:color w:val="000000"/>
            <w:sz w:val="22"/>
          </w:rPr>
          <w:t>261E.8</w:t>
        </w:r>
      </w:hyperlink>
      <w:r>
        <w:rPr>
          <w:rFonts w:ascii="Times New Roman" w:hAnsi="Times New Roman"/>
          <w:b w:val="false"/>
          <w:i w:val="false"/>
          <w:color w:val="000000"/>
          <w:sz w:val="22"/>
        </w:rPr>
        <w:t xml:space="preserve">. A student enrolled in a career and technical course under this division does not have to meet the proficiency requirements set forth in Iowa Code section </w:t>
      </w:r>
      <w:hyperlink r:id="rId22">
        <w:r>
          <w:rPr>
            <w:rStyle w:val="Hyperlink"/>
            <w:rFonts w:ascii="Times New Roman" w:hAnsi="Times New Roman"/>
            <w:b w:val="false"/>
            <w:i w:val="false"/>
            <w:color w:val="000000"/>
            <w:sz w:val="22"/>
          </w:rPr>
          <w:t>261E.3(1)</w:t>
        </w:r>
      </w:hyperlink>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22.7(1)</w:t>
      </w:r>
      <w:r>
        <w:rPr>
          <w:rFonts w:ascii="Times New Roman" w:hAnsi="Times New Roman"/>
          <w:b w:val="false"/>
          <w:i w:val="false"/>
          <w:color w:val="000000"/>
          <w:sz w:val="22"/>
        </w:rPr>
        <w:t> </w:t>
      </w:r>
      <w:r>
        <w:rPr>
          <w:rFonts w:ascii="Times New Roman" w:hAnsi="Times New Roman"/>
          <w:b w:val="false"/>
          <w:i/>
          <w:color w:val="000000"/>
          <w:sz w:val="22"/>
        </w:rPr>
        <w:t xml:space="preserve">Auditing not allowed. </w:t>
      </w:r>
      <w:r>
        <w:rPr>
          <w:rFonts w:ascii="Times New Roman" w:hAnsi="Times New Roman"/>
          <w:b w:val="false"/>
          <w:i w:val="false"/>
          <w:color w:val="000000"/>
          <w:sz w:val="22"/>
        </w:rPr>
        <w:t>Students are not permitted to audit a concurrent enrollment course; students are to take the course for credit.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22.7(2)</w:t>
      </w:r>
      <w:r>
        <w:rPr>
          <w:rFonts w:ascii="Times New Roman" w:hAnsi="Times New Roman"/>
          <w:b w:val="false"/>
          <w:i w:val="false"/>
          <w:color w:val="000000"/>
          <w:sz w:val="22"/>
        </w:rPr>
        <w:t> </w:t>
      </w:r>
      <w:r>
        <w:rPr>
          <w:rFonts w:ascii="Times New Roman" w:hAnsi="Times New Roman"/>
          <w:b w:val="false"/>
          <w:i/>
          <w:color w:val="000000"/>
          <w:sz w:val="22"/>
        </w:rPr>
        <w:t xml:space="preserve">Funding. </w:t>
      </w:r>
      <w:r>
        <w:rPr>
          <w:rFonts w:ascii="Times New Roman" w:hAnsi="Times New Roman"/>
          <w:b w:val="false"/>
          <w:i w:val="false"/>
          <w:color w:val="000000"/>
          <w:sz w:val="22"/>
        </w:rPr>
        <w:t>Regardless of whether a district receives supplementary weighted funding, the district will not charge tuition to any of its students who participate in a concurrent enrollment course.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22.7(3)</w:t>
      </w:r>
      <w:r>
        <w:rPr>
          <w:rFonts w:ascii="Times New Roman" w:hAnsi="Times New Roman"/>
          <w:b w:val="false"/>
          <w:i w:val="false"/>
          <w:color w:val="000000"/>
          <w:sz w:val="22"/>
        </w:rPr>
        <w:t> </w:t>
      </w:r>
      <w:r>
        <w:rPr>
          <w:rFonts w:ascii="Times New Roman" w:hAnsi="Times New Roman"/>
          <w:b w:val="false"/>
          <w:i/>
          <w:color w:val="000000"/>
          <w:sz w:val="22"/>
        </w:rPr>
        <w:t xml:space="preserve">Data collection. </w:t>
      </w:r>
      <w:r>
        <w:rPr>
          <w:rFonts w:ascii="Times New Roman" w:hAnsi="Times New Roman"/>
          <w:b w:val="false"/>
          <w:i w:val="false"/>
          <w:color w:val="000000"/>
          <w:sz w:val="22"/>
        </w:rPr>
        <w:t xml:space="preserve">Institutions participating in the program established by this rule will comply with data reporting and verification processes established by the department, including the data elements set forth in Iowa Code section </w:t>
      </w:r>
      <w:hyperlink r:id="rId23">
        <w:r>
          <w:rPr>
            <w:rStyle w:val="Hyperlink"/>
            <w:rFonts w:ascii="Times New Roman" w:hAnsi="Times New Roman"/>
            <w:b w:val="false"/>
            <w:i w:val="false"/>
            <w:color w:val="000000"/>
            <w:sz w:val="22"/>
          </w:rPr>
          <w:t>261E.8(9)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22.7(4)</w:t>
      </w:r>
      <w:r>
        <w:rPr>
          <w:rFonts w:ascii="Times New Roman" w:hAnsi="Times New Roman"/>
          <w:b w:val="false"/>
          <w:i w:val="false"/>
          <w:color w:val="000000"/>
          <w:sz w:val="22"/>
        </w:rPr>
        <w:t> </w:t>
      </w:r>
      <w:r>
        <w:rPr>
          <w:rFonts w:ascii="Times New Roman" w:hAnsi="Times New Roman"/>
          <w:b w:val="false"/>
          <w:i/>
          <w:color w:val="000000"/>
          <w:sz w:val="22"/>
        </w:rPr>
        <w:t xml:space="preserve">Private instruction. </w:t>
      </w:r>
      <w:r>
        <w:rPr>
          <w:rFonts w:ascii="Times New Roman" w:hAnsi="Times New Roman"/>
          <w:b w:val="false"/>
          <w:i w:val="false"/>
          <w:color w:val="000000"/>
          <w:sz w:val="22"/>
        </w:rPr>
        <w:t xml:space="preserve">Students in independent private instruction or in competent private instruction under Iowa Code chapter </w:t>
      </w:r>
      <w:hyperlink r:id="rId24">
        <w:r>
          <w:rPr>
            <w:rStyle w:val="Hyperlink"/>
            <w:rFonts w:ascii="Times New Roman" w:hAnsi="Times New Roman"/>
            <w:b w:val="false"/>
            <w:i w:val="false"/>
            <w:color w:val="000000"/>
            <w:sz w:val="22"/>
          </w:rPr>
          <w:t>299A</w:t>
        </w:r>
      </w:hyperlink>
      <w:r>
        <w:rPr>
          <w:rFonts w:ascii="Times New Roman" w:hAnsi="Times New Roman"/>
          <w:b w:val="false"/>
          <w:i w:val="false"/>
          <w:color w:val="000000"/>
          <w:sz w:val="22"/>
        </w:rPr>
        <w:t xml:space="preserve"> may access courses under this division without the course limit contained in </w:t>
      </w:r>
      <w:hyperlink r:id="rId25">
        <w:r>
          <w:rPr>
            <w:rStyle w:val="Hyperlink"/>
            <w:rFonts w:ascii="Times New Roman" w:hAnsi="Times New Roman"/>
            <w:b w:val="false"/>
            <w:i w:val="false"/>
            <w:color w:val="000000"/>
            <w:sz w:val="22"/>
          </w:rPr>
          <w:t>281—Chapter 31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8048C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281—22.8</w:t>
      </w:r>
      <w:r>
        <w:rPr>
          <w:rFonts w:ascii="Times New Roman" w:hAnsi="Times New Roman"/>
          <w:b/>
          <w:i w:val="false"/>
          <w:color w:val="000000"/>
          <w:sz w:val="22"/>
        </w:rPr>
        <w:t xml:space="preserve">(261E) </w:t>
      </w:r>
      <w:r>
        <w:rPr>
          <w:rFonts w:ascii="Times New Roman" w:hAnsi="Times New Roman"/>
          <w:b/>
          <w:i w:val="false"/>
          <w:color w:val="000000"/>
          <w:sz w:val="22"/>
        </w:rPr>
        <w:t xml:space="preserve">Accredited nonpublic school concurrent enrollment option.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22.8(1)</w:t>
      </w:r>
      <w:r>
        <w:rPr>
          <w:rFonts w:ascii="Times New Roman" w:hAnsi="Times New Roman"/>
          <w:b w:val="false"/>
          <w:i w:val="false"/>
          <w:color w:val="000000"/>
          <w:sz w:val="22"/>
        </w:rPr>
        <w:t> </w:t>
      </w:r>
      <w:r>
        <w:rPr>
          <w:rFonts w:ascii="Times New Roman" w:hAnsi="Times New Roman"/>
          <w:b w:val="false"/>
          <w:i/>
          <w:color w:val="000000"/>
          <w:sz w:val="22"/>
        </w:rPr>
        <w:t xml:space="preserve">Authorization. </w:t>
      </w:r>
      <w:r>
        <w:rPr>
          <w:rFonts w:ascii="Times New Roman" w:hAnsi="Times New Roman"/>
          <w:b w:val="false"/>
          <w:i w:val="false"/>
          <w:color w:val="000000"/>
          <w:sz w:val="22"/>
        </w:rPr>
        <w:t xml:space="preserve">In addition to enrollment through a school district as authorized under rule </w:t>
      </w:r>
      <w:hyperlink r:id="rId26">
        <w:r>
          <w:rPr>
            <w:rStyle w:val="Hyperlink"/>
            <w:rFonts w:ascii="Times New Roman" w:hAnsi="Times New Roman"/>
            <w:b w:val="false"/>
            <w:i w:val="false"/>
            <w:color w:val="000000"/>
            <w:sz w:val="22"/>
          </w:rPr>
          <w:t>281—22.7</w:t>
        </w:r>
      </w:hyperlink>
      <w:r>
        <w:rPr>
          <w:rFonts w:ascii="Times New Roman" w:hAnsi="Times New Roman"/>
          <w:b w:val="false"/>
          <w:i w:val="false"/>
          <w:color w:val="000000"/>
          <w:sz w:val="22"/>
        </w:rPr>
        <w:t>(261E), students enrolled at an accredited nonpublic school may access concurrent enrollment coursework through a direct contract between the authorities in charge of an accredited nonpublic school and a community college.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22.8(2)</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For any coursework delivered through a contract established pursuant to this rule, students, institutions, and instructors will meet the requirements for concurrent enrollment established under rule </w:t>
      </w:r>
      <w:hyperlink r:id="rId27">
        <w:r>
          <w:rPr>
            <w:rStyle w:val="Hyperlink"/>
            <w:rFonts w:ascii="Times New Roman" w:hAnsi="Times New Roman"/>
            <w:b w:val="false"/>
            <w:i w:val="false"/>
            <w:color w:val="000000"/>
            <w:sz w:val="22"/>
          </w:rPr>
          <w:t>281—22.7</w:t>
        </w:r>
      </w:hyperlink>
      <w:r>
        <w:rPr>
          <w:rFonts w:ascii="Times New Roman" w:hAnsi="Times New Roman"/>
          <w:b w:val="false"/>
          <w:i w:val="false"/>
          <w:color w:val="000000"/>
          <w:sz w:val="22"/>
        </w:rPr>
        <w:t>(261E). However, such coursework is not eligible for funding under that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22.8(3)</w:t>
      </w:r>
      <w:r>
        <w:rPr>
          <w:rFonts w:ascii="Times New Roman" w:hAnsi="Times New Roman"/>
          <w:b w:val="false"/>
          <w:i w:val="false"/>
          <w:color w:val="000000"/>
          <w:sz w:val="22"/>
        </w:rPr>
        <w:t> </w:t>
      </w:r>
      <w:r>
        <w:rPr>
          <w:rFonts w:ascii="Times New Roman" w:hAnsi="Times New Roman"/>
          <w:b w:val="false"/>
          <w:i/>
          <w:color w:val="000000"/>
          <w:sz w:val="22"/>
        </w:rPr>
        <w:t xml:space="preserve">Funding. </w:t>
      </w:r>
      <w:r>
        <w:rPr>
          <w:rFonts w:ascii="Times New Roman" w:hAnsi="Times New Roman"/>
          <w:b w:val="false"/>
          <w:i w:val="false"/>
          <w:color w:val="000000"/>
          <w:sz w:val="22"/>
        </w:rPr>
        <w:t xml:space="preserve">Subject to the appropriation of funds by the Iowa legislature for such purposes, coursework delivered through a contract between the authorities in charge of an accredited nonpublic school and a community college pursuant to this rule may be eligible for funding under rule </w:t>
      </w:r>
      <w:hyperlink r:id="rId28">
        <w:r>
          <w:rPr>
            <w:rStyle w:val="Hyperlink"/>
            <w:rFonts w:ascii="Times New Roman" w:hAnsi="Times New Roman"/>
            <w:b w:val="false"/>
            <w:i w:val="false"/>
            <w:color w:val="000000"/>
            <w:sz w:val="22"/>
          </w:rPr>
          <w:t>281—97.7</w:t>
        </w:r>
      </w:hyperlink>
      <w:r>
        <w:rPr>
          <w:rFonts w:ascii="Times New Roman" w:hAnsi="Times New Roman"/>
          <w:b w:val="false"/>
          <w:i w:val="false"/>
          <w:color w:val="000000"/>
          <w:sz w:val="22"/>
        </w:rPr>
        <w:t>(257).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22.8(4)</w:t>
      </w:r>
      <w:r>
        <w:rPr>
          <w:rFonts w:ascii="Times New Roman" w:hAnsi="Times New Roman"/>
          <w:b w:val="false"/>
          <w:i w:val="false"/>
          <w:color w:val="000000"/>
          <w:sz w:val="22"/>
        </w:rPr>
        <w:t> </w:t>
      </w:r>
      <w:r>
        <w:rPr>
          <w:rFonts w:ascii="Times New Roman" w:hAnsi="Times New Roman"/>
          <w:b w:val="false"/>
          <w:i/>
          <w:color w:val="000000"/>
          <w:sz w:val="22"/>
        </w:rPr>
        <w:t xml:space="preserve">Data collection. </w:t>
      </w:r>
      <w:r>
        <w:rPr>
          <w:rFonts w:ascii="Times New Roman" w:hAnsi="Times New Roman"/>
          <w:b w:val="false"/>
          <w:i w:val="false"/>
          <w:color w:val="000000"/>
          <w:sz w:val="22"/>
        </w:rPr>
        <w:t>Institutions participating in a contract pursuant to this rule are to comply with data reporting and verification processes established by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8048C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DIVISION IV</w:t>
      </w:r>
    </w:p>
    <w:p>
      <w:pPr>
        <w:pBdr>
          <w:bottom w:space="10"/>
        </w:pBdr>
        <w:spacing w:before="0" w:after="0"/>
        <w:ind w:left="120"/>
        <w:jc w:val="center"/>
      </w:pPr>
      <w:r>
        <w:rPr>
          <w:rFonts w:ascii="Times New Roman" w:hAnsi="Times New Roman"/>
          <w:b w:val="false"/>
          <w:i w:val="false"/>
          <w:color w:val="000000"/>
          <w:sz w:val="16"/>
        </w:rPr>
        <w:t>POSTSECONDARY ENROLLMENT OPTIONS PROGRAM</w:t>
      </w:r>
    </w:p>
    <w:p>
      <w:pPr>
        <w:spacing w:before="0" w:after="0"/>
        <w:ind w:left="120"/>
        <w:jc w:val="both"/>
      </w:pPr>
      <w:r>
        <w:rPr>
          <w:rFonts w:ascii="Times New Roman" w:hAnsi="Times New Roman"/>
          <w:b/>
          <w:i w:val="false"/>
          <w:color w:val="000000"/>
          <w:sz w:val="22"/>
        </w:rPr>
        <w:t>281—22.9</w:t>
      </w:r>
      <w:r>
        <w:rPr>
          <w:rFonts w:ascii="Times New Roman" w:hAnsi="Times New Roman"/>
          <w:b/>
          <w:i w:val="false"/>
          <w:color w:val="000000"/>
          <w:sz w:val="22"/>
        </w:rPr>
        <w:t xml:space="preserve">(261E) </w:t>
      </w:r>
      <w:r>
        <w:rPr>
          <w:rFonts w:ascii="Times New Roman" w:hAnsi="Times New Roman"/>
          <w:b/>
          <w:i w:val="false"/>
          <w:color w:val="000000"/>
          <w:sz w:val="22"/>
        </w:rPr>
        <w:t xml:space="preserve">Postsecondary enrollment options program—general. </w:t>
      </w:r>
      <w:r>
        <w:rPr>
          <w:rFonts w:ascii="Times New Roman" w:hAnsi="Times New Roman"/>
          <w:b w:val="false"/>
          <w:i w:val="false"/>
          <w:color w:val="000000"/>
          <w:sz w:val="22"/>
        </w:rPr>
        <w:t xml:space="preserve">The postsecondary enrollment options (PSEO) program is established pursuant to the terms of Iowa Code section </w:t>
      </w:r>
      <w:hyperlink r:id="rId29">
        <w:r>
          <w:rPr>
            <w:rStyle w:val="Hyperlink"/>
            <w:rFonts w:ascii="Times New Roman" w:hAnsi="Times New Roman"/>
            <w:b w:val="false"/>
            <w:i w:val="false"/>
            <w:color w:val="000000"/>
            <w:sz w:val="22"/>
          </w:rPr>
          <w:t>261E.6</w:t>
        </w:r>
      </w:hyperlink>
      <w:r>
        <w:rPr>
          <w:rFonts w:ascii="Times New Roman" w:hAnsi="Times New Roman"/>
          <w:b w:val="false"/>
          <w:i w:val="false"/>
          <w:color w:val="000000"/>
          <w:sz w:val="22"/>
        </w:rPr>
        <w:t>. PSEO programming provided by a school district pursuant to this division may be but is not required to be available to students on a year-round basis.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8048C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281—22.10</w:t>
      </w:r>
      <w:r>
        <w:rPr>
          <w:rFonts w:ascii="Times New Roman" w:hAnsi="Times New Roman"/>
          <w:b/>
          <w:i w:val="false"/>
          <w:color w:val="000000"/>
          <w:sz w:val="22"/>
        </w:rPr>
        <w:t xml:space="preserve">(261E) </w:t>
      </w:r>
      <w:r>
        <w:rPr>
          <w:rFonts w:ascii="Times New Roman" w:hAnsi="Times New Roman"/>
          <w:b/>
          <w:i w:val="false"/>
          <w:color w:val="000000"/>
          <w:sz w:val="22"/>
        </w:rPr>
        <w:t xml:space="preserve">Student eligibility. </w:t>
      </w:r>
      <w:r>
        <w:rPr>
          <w:rFonts w:ascii="Times New Roman" w:hAnsi="Times New Roman"/>
          <w:b w:val="false"/>
          <w:i w:val="false"/>
          <w:color w:val="000000"/>
          <w:sz w:val="22"/>
        </w:rPr>
        <w:t xml:space="preserve">Student eligibility is described in Iowa Code section </w:t>
      </w:r>
      <w:hyperlink r:id="rId30">
        <w:r>
          <w:rPr>
            <w:rStyle w:val="Hyperlink"/>
            <w:rFonts w:ascii="Times New Roman" w:hAnsi="Times New Roman"/>
            <w:b w:val="false"/>
            <w:i w:val="false"/>
            <w:color w:val="000000"/>
            <w:sz w:val="22"/>
          </w:rPr>
          <w:t>261E.6(6)</w:t>
        </w:r>
      </w:hyperlink>
      <w:r>
        <w:rPr>
          <w:rFonts w:ascii="Times New Roman" w:hAnsi="Times New Roman"/>
          <w:b w:val="false"/>
          <w:i w:val="false"/>
          <w:color w:val="000000"/>
          <w:sz w:val="22"/>
        </w:rPr>
        <w:t>. Persons who have graduated from high school are not eligible for this program. Students who are not residents of Iowa are not eligible.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22.10(1)</w:t>
      </w:r>
      <w:r>
        <w:rPr>
          <w:rFonts w:ascii="Times New Roman" w:hAnsi="Times New Roman"/>
          <w:b w:val="false"/>
          <w:i w:val="false"/>
          <w:color w:val="000000"/>
          <w:sz w:val="22"/>
        </w:rPr>
        <w:t> </w:t>
      </w:r>
      <w:r>
        <w:rPr>
          <w:rFonts w:ascii="Times New Roman" w:hAnsi="Times New Roman"/>
          <w:b w:val="false"/>
          <w:i w:val="false"/>
          <w:color w:val="000000"/>
          <w:sz w:val="22"/>
        </w:rPr>
        <w:t>A student enrolled in an accredited nonpublic school who meets all eligibility requirements may apply to take courses under this division in the school district where the accredited nonpublic school is located, provided that neither the accredited nonpublic school nor the school district offers a comparable course.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22.10(2)</w:t>
      </w:r>
      <w:r>
        <w:rPr>
          <w:rFonts w:ascii="Times New Roman" w:hAnsi="Times New Roman"/>
          <w:b w:val="false"/>
          <w:i w:val="false"/>
          <w:color w:val="000000"/>
          <w:sz w:val="22"/>
        </w:rPr>
        <w:t> </w:t>
      </w:r>
      <w:r>
        <w:rPr>
          <w:rFonts w:ascii="Times New Roman" w:hAnsi="Times New Roman"/>
          <w:b w:val="false"/>
          <w:i w:val="false"/>
          <w:color w:val="000000"/>
          <w:sz w:val="22"/>
        </w:rPr>
        <w:t>A student under competent private instruction who meets the eligibility requirements in this chapter may apply to take courses under this division through the public school district in which the student is dually enrolled, provided that the resident school district does not offer a comparable course.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22.10(3)</w:t>
      </w:r>
      <w:r>
        <w:rPr>
          <w:rFonts w:ascii="Times New Roman" w:hAnsi="Times New Roman"/>
          <w:b w:val="false"/>
          <w:i w:val="false"/>
          <w:color w:val="000000"/>
          <w:sz w:val="22"/>
        </w:rPr>
        <w:t> </w:t>
      </w:r>
      <w:r>
        <w:rPr>
          <w:rFonts w:ascii="Times New Roman" w:hAnsi="Times New Roman"/>
          <w:b w:val="false"/>
          <w:i w:val="false"/>
          <w:color w:val="000000"/>
          <w:sz w:val="22"/>
        </w:rPr>
        <w:t>Postsecondary institutions may require students to meet appropriate standards or requirements for entrance into a course, which may include prerequisite courses, scores on national academic aptitude and achievement tests, or other evaluation procedures to determine competency. Acceptance of a student into a course by a postsecondary institution is not a guarantee that a student will be enrolled in all requested courses. Priority may be given to postsecondary students before eligible secondary students are enrolled in courses. However, once an eligible secondary student has enrolled in a postsecondary course, the student cannot be displaced by another student for the duration of the course. Students must take the course for credit (no auditing of courses allowed) and meet all of the requirements of the course that are required of postsecondary students.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8048C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281—22.11</w:t>
      </w:r>
      <w:r>
        <w:rPr>
          <w:rFonts w:ascii="Times New Roman" w:hAnsi="Times New Roman"/>
          <w:b/>
          <w:i w:val="false"/>
          <w:color w:val="000000"/>
          <w:sz w:val="22"/>
        </w:rPr>
        <w:t xml:space="preserve">(261E) </w:t>
      </w:r>
      <w:r>
        <w:rPr>
          <w:rFonts w:ascii="Times New Roman" w:hAnsi="Times New Roman"/>
          <w:b/>
          <w:i w:val="false"/>
          <w:color w:val="000000"/>
          <w:sz w:val="22"/>
        </w:rPr>
        <w:t xml:space="preserve">Eligible postsecondary courses. </w:t>
      </w:r>
      <w:r>
        <w:rPr>
          <w:rFonts w:ascii="Times New Roman" w:hAnsi="Times New Roman"/>
          <w:b w:val="false"/>
          <w:i w:val="false"/>
          <w:color w:val="000000"/>
          <w:sz w:val="22"/>
        </w:rPr>
        <w:t>These rules are intended to implement the policy of the state to promote rigorous academic pursuits.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22.11(1)</w:t>
      </w:r>
      <w:r>
        <w:rPr>
          <w:rFonts w:ascii="Times New Roman" w:hAnsi="Times New Roman"/>
          <w:b w:val="false"/>
          <w:i w:val="false"/>
          <w:color w:val="000000"/>
          <w:sz w:val="22"/>
        </w:rPr>
        <w:t> </w:t>
      </w:r>
      <w:r>
        <w:rPr>
          <w:rFonts w:ascii="Times New Roman" w:hAnsi="Times New Roman"/>
          <w:b w:val="false"/>
          <w:i w:val="false"/>
          <w:color w:val="000000"/>
          <w:sz w:val="22"/>
        </w:rPr>
        <w:t>Postsecondary courses eligible for students to enroll in under this division are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Nonsectarian courses;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Courses that are not comparable to courses offered by the school district where the student attends that are defined in rules adopted by the board of directors of the public school district. For purposes of these rules, “comparable” is not synonymous with “identical,” but means that the content of a course provided to a high school student for postsecondary credit consists of substantially the same concepts and skills as the content of a course provided by the school district or accredited nonpublic school;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Credit-bearing courses that lead to an educational degree;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Courses in the discipline areas of mathematics, science, social sciences, humanities, and vocational-technical education; and also the courses in career option programs offered by area schools established under the authorization provided in Iowa Code chapter </w:t>
      </w:r>
      <w:hyperlink r:id="rId31">
        <w:r>
          <w:rPr>
            <w:rStyle w:val="Hyperlink"/>
            <w:rFonts w:ascii="Times New Roman" w:hAnsi="Times New Roman"/>
            <w:b w:val="false"/>
            <w:i w:val="false"/>
            <w:color w:val="000000"/>
            <w:sz w:val="22"/>
          </w:rPr>
          <w:t>260C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22.11(2)</w:t>
      </w:r>
      <w:r>
        <w:rPr>
          <w:rFonts w:ascii="Times New Roman" w:hAnsi="Times New Roman"/>
          <w:b w:val="false"/>
          <w:i w:val="false"/>
          <w:color w:val="000000"/>
          <w:sz w:val="22"/>
        </w:rPr>
        <w:t> </w:t>
      </w:r>
      <w:r>
        <w:rPr>
          <w:rFonts w:ascii="Times New Roman" w:hAnsi="Times New Roman"/>
          <w:b w:val="false"/>
          <w:i w:val="false"/>
          <w:color w:val="000000"/>
          <w:sz w:val="22"/>
        </w:rPr>
        <w:t>A school district or accredited nonpublic school will grant academic or vocational-technical credit to an eligible student enrolled in an eligible postsecondary course.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22.11(3)</w:t>
      </w:r>
      <w:r>
        <w:rPr>
          <w:rFonts w:ascii="Times New Roman" w:hAnsi="Times New Roman"/>
          <w:b w:val="false"/>
          <w:i w:val="false"/>
          <w:color w:val="000000"/>
          <w:sz w:val="22"/>
        </w:rPr>
        <w:t> </w:t>
      </w:r>
      <w:r>
        <w:rPr>
          <w:rFonts w:ascii="Times New Roman" w:hAnsi="Times New Roman"/>
          <w:b w:val="false"/>
          <w:i w:val="false"/>
          <w:color w:val="000000"/>
          <w:sz w:val="22"/>
        </w:rPr>
        <w:t xml:space="preserve">A course is ineligible for purposes of this rule if the school district has a contractual agreement with the eligible postsecondary institution under Iowa Code section </w:t>
      </w:r>
      <w:hyperlink r:id="rId32">
        <w:r>
          <w:rPr>
            <w:rStyle w:val="Hyperlink"/>
            <w:rFonts w:ascii="Times New Roman" w:hAnsi="Times New Roman"/>
            <w:b w:val="false"/>
            <w:i w:val="false"/>
            <w:color w:val="000000"/>
            <w:sz w:val="22"/>
          </w:rPr>
          <w:t>261E.8</w:t>
        </w:r>
      </w:hyperlink>
      <w:r>
        <w:rPr>
          <w:rFonts w:ascii="Times New Roman" w:hAnsi="Times New Roman"/>
          <w:b w:val="false"/>
          <w:i w:val="false"/>
          <w:color w:val="000000"/>
          <w:sz w:val="22"/>
        </w:rPr>
        <w:t xml:space="preserve"> that meets the requirements of Iowa Code section </w:t>
      </w:r>
      <w:hyperlink r:id="rId33">
        <w:r>
          <w:rPr>
            <w:rStyle w:val="Hyperlink"/>
            <w:rFonts w:ascii="Times New Roman" w:hAnsi="Times New Roman"/>
            <w:b w:val="false"/>
            <w:i w:val="false"/>
            <w:color w:val="000000"/>
            <w:sz w:val="22"/>
          </w:rPr>
          <w:t>257.11(3)</w:t>
        </w:r>
      </w:hyperlink>
      <w:r>
        <w:rPr>
          <w:rFonts w:ascii="Times New Roman" w:hAnsi="Times New Roman"/>
          <w:b w:val="false"/>
          <w:i w:val="false"/>
          <w:color w:val="000000"/>
          <w:sz w:val="22"/>
        </w:rPr>
        <w:t xml:space="preserve"> and if the course may be delivered through such an agreement in accordance with Iowa Code section </w:t>
      </w:r>
      <w:hyperlink r:id="rId34">
        <w:r>
          <w:rPr>
            <w:rStyle w:val="Hyperlink"/>
            <w:rFonts w:ascii="Times New Roman" w:hAnsi="Times New Roman"/>
            <w:b w:val="false"/>
            <w:i w:val="false"/>
            <w:color w:val="000000"/>
            <w:sz w:val="22"/>
          </w:rPr>
          <w:t>257.11(3)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22.11(4)</w:t>
      </w:r>
      <w:r>
        <w:rPr>
          <w:rFonts w:ascii="Times New Roman" w:hAnsi="Times New Roman"/>
          <w:b w:val="false"/>
          <w:i w:val="false"/>
          <w:color w:val="000000"/>
          <w:sz w:val="22"/>
        </w:rPr>
        <w:t> </w:t>
      </w:r>
      <w:r>
        <w:rPr>
          <w:rFonts w:ascii="Times New Roman" w:hAnsi="Times New Roman"/>
          <w:b w:val="false"/>
          <w:i w:val="false"/>
          <w:color w:val="000000"/>
          <w:sz w:val="22"/>
        </w:rPr>
        <w:t xml:space="preserve">Matters pertaining to the granting and awarding of credit are set forth in Iowa Code section </w:t>
      </w:r>
      <w:hyperlink r:id="rId35">
        <w:r>
          <w:rPr>
            <w:rStyle w:val="Hyperlink"/>
            <w:rFonts w:ascii="Times New Roman" w:hAnsi="Times New Roman"/>
            <w:b w:val="false"/>
            <w:i w:val="false"/>
            <w:color w:val="000000"/>
            <w:sz w:val="22"/>
          </w:rPr>
          <w:t>261E.6(4)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8048C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281—22.12</w:t>
      </w:r>
      <w:r>
        <w:rPr>
          <w:rFonts w:ascii="Times New Roman" w:hAnsi="Times New Roman"/>
          <w:b/>
          <w:i w:val="false"/>
          <w:color w:val="000000"/>
          <w:sz w:val="22"/>
        </w:rPr>
        <w:t xml:space="preserve">(261E) </w:t>
      </w:r>
      <w:r>
        <w:rPr>
          <w:rFonts w:ascii="Times New Roman" w:hAnsi="Times New Roman"/>
          <w:b/>
          <w:i w:val="false"/>
          <w:color w:val="000000"/>
          <w:sz w:val="22"/>
        </w:rPr>
        <w:t xml:space="preserve">Application process. </w:t>
      </w:r>
      <w:r>
        <w:rPr>
          <w:rFonts w:ascii="Times New Roman" w:hAnsi="Times New Roman"/>
          <w:b w:val="false"/>
          <w:i w:val="false"/>
          <w:color w:val="000000"/>
          <w:sz w:val="22"/>
        </w:rPr>
        <w:t xml:space="preserve">The application process is set forth in Iowa Code section </w:t>
      </w:r>
      <w:hyperlink r:id="rId36">
        <w:r>
          <w:rPr>
            <w:rStyle w:val="Hyperlink"/>
            <w:rFonts w:ascii="Times New Roman" w:hAnsi="Times New Roman"/>
            <w:b w:val="false"/>
            <w:i w:val="false"/>
            <w:color w:val="000000"/>
            <w:sz w:val="22"/>
          </w:rPr>
          <w:t>261E.6(3)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8048C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281—22.13</w:t>
      </w:r>
      <w:r>
        <w:rPr>
          <w:rFonts w:ascii="Times New Roman" w:hAnsi="Times New Roman"/>
          <w:b/>
          <w:i w:val="false"/>
          <w:color w:val="000000"/>
          <w:sz w:val="22"/>
        </w:rPr>
        <w:t xml:space="preserve">(261E) </w:t>
      </w:r>
      <w:r>
        <w:rPr>
          <w:rFonts w:ascii="Times New Roman" w:hAnsi="Times New Roman"/>
          <w:b/>
          <w:i w:val="false"/>
          <w:color w:val="000000"/>
          <w:sz w:val="22"/>
        </w:rPr>
        <w:t xml:space="preserve">Transportation. </w:t>
      </w:r>
      <w:r>
        <w:rPr>
          <w:rFonts w:ascii="Times New Roman" w:hAnsi="Times New Roman"/>
          <w:b w:val="false"/>
          <w:i w:val="false"/>
          <w:color w:val="000000"/>
          <w:sz w:val="22"/>
        </w:rPr>
        <w:t>The parent or guardian of an eligible student who has enrolled in and is attending an eligible postsecondary institution under this division is solely responsible to furnish transportation to and from the postsecondary institution for the student.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8048C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281—22.14</w:t>
      </w:r>
      <w:r>
        <w:rPr>
          <w:rFonts w:ascii="Times New Roman" w:hAnsi="Times New Roman"/>
          <w:b/>
          <w:i w:val="false"/>
          <w:color w:val="000000"/>
          <w:sz w:val="22"/>
        </w:rPr>
        <w:t xml:space="preserve">(261E) </w:t>
      </w:r>
      <w:r>
        <w:rPr>
          <w:rFonts w:ascii="Times New Roman" w:hAnsi="Times New Roman"/>
          <w:b/>
          <w:i w:val="false"/>
          <w:color w:val="000000"/>
          <w:sz w:val="22"/>
        </w:rPr>
        <w:t xml:space="preserve">Payments, claims, and reimbursements. </w:t>
      </w:r>
      <w:r>
        <w:rPr>
          <w:rFonts w:ascii="Times New Roman" w:hAnsi="Times New Roman"/>
          <w:b w:val="false"/>
          <w:i w:val="false"/>
          <w:color w:val="000000"/>
          <w:sz w:val="22"/>
        </w:rPr>
        <w:t xml:space="preserve">Payments, claims, and reimbursements, including reimbursements and adjustments, under this division are set forth in Iowa Code section </w:t>
      </w:r>
      <w:hyperlink r:id="rId37">
        <w:r>
          <w:rPr>
            <w:rStyle w:val="Hyperlink"/>
            <w:rFonts w:ascii="Times New Roman" w:hAnsi="Times New Roman"/>
            <w:b w:val="false"/>
            <w:i w:val="false"/>
            <w:color w:val="000000"/>
            <w:sz w:val="22"/>
          </w:rPr>
          <w:t>261E.7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8048C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DIVISION V</w:t>
      </w:r>
    </w:p>
    <w:p>
      <w:pPr>
        <w:pBdr>
          <w:bottom w:space="10"/>
        </w:pBdr>
        <w:spacing w:before="0" w:after="0"/>
        <w:ind w:left="120"/>
        <w:jc w:val="center"/>
      </w:pPr>
      <w:r>
        <w:rPr>
          <w:rFonts w:ascii="Times New Roman" w:hAnsi="Times New Roman"/>
          <w:b w:val="false"/>
          <w:i w:val="false"/>
          <w:color w:val="000000"/>
          <w:sz w:val="16"/>
        </w:rPr>
        <w:t>CAREER ACADEMIES</w:t>
      </w:r>
    </w:p>
    <w:p>
      <w:pPr>
        <w:spacing w:before="0" w:after="0"/>
        <w:ind w:left="120"/>
        <w:jc w:val="both"/>
      </w:pPr>
      <w:r>
        <w:rPr>
          <w:rFonts w:ascii="Times New Roman" w:hAnsi="Times New Roman"/>
          <w:b/>
          <w:i w:val="false"/>
          <w:color w:val="000000"/>
          <w:sz w:val="22"/>
        </w:rPr>
        <w:t>281—22.15</w:t>
      </w:r>
      <w:r>
        <w:rPr>
          <w:rFonts w:ascii="Times New Roman" w:hAnsi="Times New Roman"/>
          <w:b/>
          <w:i w:val="false"/>
          <w:color w:val="000000"/>
          <w:sz w:val="22"/>
        </w:rPr>
        <w:t xml:space="preserve">(261E) </w:t>
      </w:r>
      <w:r>
        <w:rPr>
          <w:rFonts w:ascii="Times New Roman" w:hAnsi="Times New Roman"/>
          <w:b/>
          <w:i w:val="false"/>
          <w:color w:val="000000"/>
          <w:sz w:val="22"/>
        </w:rPr>
        <w:t xml:space="preserve">Career academies. </w:t>
      </w:r>
      <w:r>
        <w:rPr>
          <w:rFonts w:ascii="Times New Roman" w:hAnsi="Times New Roman"/>
          <w:b w:val="false"/>
          <w:i w:val="false"/>
          <w:color w:val="000000"/>
          <w:sz w:val="22"/>
        </w:rPr>
        <w:t xml:space="preserve">A career academy is defined in Iowa Code section </w:t>
      </w:r>
      <w:hyperlink r:id="rId38">
        <w:r>
          <w:rPr>
            <w:rStyle w:val="Hyperlink"/>
            <w:rFonts w:ascii="Times New Roman" w:hAnsi="Times New Roman"/>
            <w:b w:val="false"/>
            <w:i w:val="false"/>
            <w:color w:val="000000"/>
            <w:sz w:val="22"/>
          </w:rPr>
          <w:t>258.6</w:t>
        </w:r>
      </w:hyperlink>
      <w:r>
        <w:rPr>
          <w:rFonts w:ascii="Times New Roman" w:hAnsi="Times New Roman"/>
          <w:b w:val="false"/>
          <w:i w:val="false"/>
          <w:color w:val="000000"/>
          <w:sz w:val="22"/>
        </w:rPr>
        <w:t xml:space="preserve">. Career academies are established and governed by Iowa Code section </w:t>
      </w:r>
      <w:hyperlink r:id="rId39">
        <w:r>
          <w:rPr>
            <w:rStyle w:val="Hyperlink"/>
            <w:rFonts w:ascii="Times New Roman" w:hAnsi="Times New Roman"/>
            <w:b w:val="false"/>
            <w:i w:val="false"/>
            <w:color w:val="000000"/>
            <w:sz w:val="22"/>
          </w:rPr>
          <w:t>261E.10</w:t>
        </w:r>
      </w:hyperlink>
      <w:r>
        <w:rPr>
          <w:rFonts w:ascii="Times New Roman" w:hAnsi="Times New Roman"/>
          <w:b w:val="false"/>
          <w:i w:val="false"/>
          <w:color w:val="000000"/>
          <w:sz w:val="22"/>
        </w:rPr>
        <w:t>, which is incorporated by this reference. A course offered by a career academy will not qualify as a regional academy course.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8048C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DIVISION VI</w:t>
      </w:r>
    </w:p>
    <w:p>
      <w:pPr>
        <w:pBdr>
          <w:bottom w:space="10"/>
        </w:pBdr>
        <w:spacing w:before="0" w:after="0"/>
        <w:ind w:left="120"/>
        <w:jc w:val="center"/>
      </w:pPr>
      <w:r>
        <w:rPr>
          <w:rFonts w:ascii="Times New Roman" w:hAnsi="Times New Roman"/>
          <w:b w:val="false"/>
          <w:i w:val="false"/>
          <w:color w:val="000000"/>
          <w:sz w:val="16"/>
        </w:rPr>
        <w:t>REGIONAL ACADEMIES</w:t>
      </w:r>
    </w:p>
    <w:p>
      <w:pPr>
        <w:spacing w:before="0" w:after="0"/>
        <w:ind w:left="120"/>
        <w:jc w:val="both"/>
      </w:pPr>
      <w:r>
        <w:rPr>
          <w:rFonts w:ascii="Times New Roman" w:hAnsi="Times New Roman"/>
          <w:b/>
          <w:i w:val="false"/>
          <w:color w:val="000000"/>
          <w:sz w:val="22"/>
        </w:rPr>
        <w:t>281—22.16</w:t>
      </w:r>
      <w:r>
        <w:rPr>
          <w:rFonts w:ascii="Times New Roman" w:hAnsi="Times New Roman"/>
          <w:b/>
          <w:i w:val="false"/>
          <w:color w:val="000000"/>
          <w:sz w:val="22"/>
        </w:rPr>
        <w:t xml:space="preserve">(261E) </w:t>
      </w:r>
      <w:r>
        <w:rPr>
          <w:rFonts w:ascii="Times New Roman" w:hAnsi="Times New Roman"/>
          <w:b/>
          <w:i w:val="false"/>
          <w:color w:val="000000"/>
          <w:sz w:val="22"/>
        </w:rPr>
        <w:t xml:space="preserve">Regional academies. </w:t>
      </w:r>
      <w:r>
        <w:rPr>
          <w:rFonts w:ascii="Times New Roman" w:hAnsi="Times New Roman"/>
          <w:b w:val="false"/>
          <w:i w:val="false"/>
          <w:color w:val="000000"/>
          <w:sz w:val="22"/>
        </w:rPr>
        <w:t xml:space="preserve">A regional academy is a program established and governed by Iowa Code section </w:t>
      </w:r>
      <w:hyperlink r:id="rId40">
        <w:r>
          <w:rPr>
            <w:rStyle w:val="Hyperlink"/>
            <w:rFonts w:ascii="Times New Roman" w:hAnsi="Times New Roman"/>
            <w:b w:val="false"/>
            <w:i w:val="false"/>
            <w:color w:val="000000"/>
            <w:sz w:val="22"/>
          </w:rPr>
          <w:t>261E.9</w:t>
        </w:r>
      </w:hyperlink>
      <w:r>
        <w:rPr>
          <w:rFonts w:ascii="Times New Roman" w:hAnsi="Times New Roman"/>
          <w:b w:val="false"/>
          <w:i w:val="false"/>
          <w:color w:val="000000"/>
          <w:sz w:val="22"/>
        </w:rPr>
        <w:t>, which is incorporated by this reference. School districts participating in a regional academy pursuant to this rule are to comply with the application and verification processes established by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8048C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DIVISION VII</w:t>
      </w:r>
    </w:p>
    <w:p>
      <w:pPr>
        <w:pBdr>
          <w:bottom w:space="10"/>
        </w:pBdr>
        <w:spacing w:before="0" w:after="0"/>
        <w:ind w:left="120"/>
        <w:jc w:val="center"/>
      </w:pPr>
      <w:r>
        <w:rPr>
          <w:rFonts w:ascii="Times New Roman" w:hAnsi="Times New Roman"/>
          <w:b w:val="false"/>
          <w:i w:val="false"/>
          <w:color w:val="000000"/>
          <w:sz w:val="16"/>
        </w:rPr>
        <w:t>INTERNET-BASED COURSEWORK</w:t>
      </w:r>
    </w:p>
    <w:p>
      <w:pPr>
        <w:spacing w:before="0" w:after="0"/>
        <w:ind w:left="120"/>
        <w:jc w:val="both"/>
      </w:pPr>
      <w:r>
        <w:rPr>
          <w:rFonts w:ascii="Times New Roman" w:hAnsi="Times New Roman"/>
          <w:b/>
          <w:i w:val="false"/>
          <w:color w:val="000000"/>
          <w:sz w:val="22"/>
        </w:rPr>
        <w:t>281—22.17</w:t>
      </w:r>
      <w:r>
        <w:rPr>
          <w:rFonts w:ascii="Times New Roman" w:hAnsi="Times New Roman"/>
          <w:b/>
          <w:i w:val="false"/>
          <w:color w:val="000000"/>
          <w:sz w:val="22"/>
        </w:rPr>
        <w:t xml:space="preserve">(261E) </w:t>
      </w:r>
      <w:r>
        <w:rPr>
          <w:rFonts w:ascii="Times New Roman" w:hAnsi="Times New Roman"/>
          <w:b/>
          <w:i w:val="false"/>
          <w:color w:val="000000"/>
          <w:sz w:val="22"/>
        </w:rPr>
        <w:t xml:space="preserve">Internet-based coursework. </w:t>
      </w:r>
      <w:r>
        <w:rPr>
          <w:rFonts w:ascii="Times New Roman" w:hAnsi="Times New Roman"/>
          <w:b w:val="false"/>
          <w:i w:val="false"/>
          <w:color w:val="000000"/>
          <w:sz w:val="22"/>
        </w:rPr>
        <w:t xml:space="preserve">The programming in this chapter may be delivered as specified in Iowa Code section </w:t>
      </w:r>
      <w:hyperlink r:id="rId41">
        <w:r>
          <w:rPr>
            <w:rStyle w:val="Hyperlink"/>
            <w:rFonts w:ascii="Times New Roman" w:hAnsi="Times New Roman"/>
            <w:b w:val="false"/>
            <w:i w:val="false"/>
            <w:color w:val="000000"/>
            <w:sz w:val="22"/>
          </w:rPr>
          <w:t>261E.11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8048C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DIVISION VIII</w:t>
      </w:r>
    </w:p>
    <w:p>
      <w:pPr>
        <w:pBdr>
          <w:bottom w:space="10"/>
        </w:pBdr>
        <w:spacing w:before="0" w:after="0"/>
        <w:ind w:left="120"/>
        <w:jc w:val="center"/>
      </w:pPr>
      <w:r>
        <w:rPr>
          <w:rFonts w:ascii="Times New Roman" w:hAnsi="Times New Roman"/>
          <w:b w:val="false"/>
          <w:i w:val="false"/>
          <w:color w:val="000000"/>
          <w:sz w:val="16"/>
        </w:rPr>
        <w:t>PROJECT LEAD THE WAY</w:t>
      </w:r>
    </w:p>
    <w:p>
      <w:pPr>
        <w:spacing w:before="0" w:after="0"/>
        <w:ind w:left="120"/>
        <w:jc w:val="both"/>
      </w:pPr>
      <w:r>
        <w:rPr>
          <w:rFonts w:ascii="Times New Roman" w:hAnsi="Times New Roman"/>
          <w:b/>
          <w:i w:val="false"/>
          <w:color w:val="000000"/>
          <w:sz w:val="22"/>
        </w:rPr>
        <w:t>281—22.18</w:t>
      </w:r>
      <w:r>
        <w:rPr>
          <w:rFonts w:ascii="Times New Roman" w:hAnsi="Times New Roman"/>
          <w:b/>
          <w:i w:val="false"/>
          <w:color w:val="000000"/>
          <w:sz w:val="22"/>
        </w:rPr>
        <w:t xml:space="preserve">(261E) </w:t>
      </w:r>
      <w:r>
        <w:rPr>
          <w:rFonts w:ascii="Times New Roman" w:hAnsi="Times New Roman"/>
          <w:b/>
          <w:i w:val="false"/>
          <w:color w:val="000000"/>
          <w:sz w:val="22"/>
        </w:rPr>
        <w:t xml:space="preserve">Project lead the way.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22.18(1)</w:t>
      </w:r>
      <w:r>
        <w:rPr>
          <w:rFonts w:ascii="Times New Roman" w:hAnsi="Times New Roman"/>
          <w:b w:val="false"/>
          <w:i w:val="false"/>
          <w:color w:val="000000"/>
          <w:sz w:val="22"/>
        </w:rPr>
        <w:t> </w:t>
      </w:r>
      <w:r>
        <w:rPr>
          <w:rFonts w:ascii="Times New Roman" w:hAnsi="Times New Roman"/>
          <w:b w:val="false"/>
          <w:i/>
          <w:color w:val="000000"/>
          <w:sz w:val="22"/>
        </w:rPr>
        <w:t xml:space="preserve">Program established. </w:t>
      </w:r>
      <w:r>
        <w:rPr>
          <w:rFonts w:ascii="Times New Roman" w:hAnsi="Times New Roman"/>
          <w:b w:val="false"/>
          <w:i w:val="false"/>
          <w:color w:val="000000"/>
          <w:sz w:val="22"/>
        </w:rPr>
        <w:t>A project lead the way program is established to be administered by the department to promote rigorous science, technology, engineering, and mathematics pursuits.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22.18(2)</w:t>
      </w:r>
      <w:r>
        <w:rPr>
          <w:rFonts w:ascii="Times New Roman" w:hAnsi="Times New Roman"/>
          <w:b w:val="false"/>
          <w:i w:val="false"/>
          <w:color w:val="000000"/>
          <w:sz w:val="22"/>
        </w:rPr>
        <w:t> </w:t>
      </w:r>
      <w:r>
        <w:rPr>
          <w:rFonts w:ascii="Times New Roman" w:hAnsi="Times New Roman"/>
          <w:b w:val="false"/>
          <w:i/>
          <w:color w:val="000000"/>
          <w:sz w:val="22"/>
        </w:rPr>
        <w:t xml:space="preserve">Notification. </w:t>
      </w:r>
      <w:r>
        <w:rPr>
          <w:rFonts w:ascii="Times New Roman" w:hAnsi="Times New Roman"/>
          <w:b w:val="false"/>
          <w:i w:val="false"/>
          <w:color w:val="000000"/>
          <w:sz w:val="22"/>
        </w:rPr>
        <w:t xml:space="preserve">A school district shall provide descriptions of the project lead the way courses available to students using a course registration handbook. The handbook is to identify which courses, if successfully completed, generate college credit under the program. Information about available project lead the way courses is to be provided to every junior high school student or middle school student prior to the development of a core curriculum plan pursuant to Iowa Code section </w:t>
      </w:r>
      <w:hyperlink r:id="rId42">
        <w:r>
          <w:rPr>
            <w:rStyle w:val="Hyperlink"/>
            <w:rFonts w:ascii="Times New Roman" w:hAnsi="Times New Roman"/>
            <w:b w:val="false"/>
            <w:i w:val="false"/>
            <w:color w:val="000000"/>
            <w:sz w:val="22"/>
          </w:rPr>
          <w:t>279.61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22.18(3)</w:t>
      </w:r>
      <w:r>
        <w:rPr>
          <w:rFonts w:ascii="Times New Roman" w:hAnsi="Times New Roman"/>
          <w:b w:val="false"/>
          <w:i w:val="false"/>
          <w:color w:val="000000"/>
          <w:sz w:val="22"/>
        </w:rPr>
        <w:t> </w:t>
      </w:r>
      <w:r>
        <w:rPr>
          <w:rFonts w:ascii="Times New Roman" w:hAnsi="Times New Roman"/>
          <w:b w:val="false"/>
          <w:i/>
          <w:color w:val="000000"/>
          <w:sz w:val="22"/>
        </w:rPr>
        <w:t xml:space="preserve">Access. </w:t>
      </w:r>
      <w:r>
        <w:rPr>
          <w:rFonts w:ascii="Times New Roman" w:hAnsi="Times New Roman"/>
          <w:b w:val="false"/>
          <w:i w:val="false"/>
          <w:color w:val="000000"/>
          <w:sz w:val="22"/>
        </w:rPr>
        <w:t xml:space="preserve">Students from accredited nonpublic schools and students receiving competent private instruction under Iowa Code chapter </w:t>
      </w:r>
      <w:hyperlink r:id="rId43">
        <w:r>
          <w:rPr>
            <w:rStyle w:val="Hyperlink"/>
            <w:rFonts w:ascii="Times New Roman" w:hAnsi="Times New Roman"/>
            <w:b w:val="false"/>
            <w:i w:val="false"/>
            <w:color w:val="000000"/>
            <w:sz w:val="22"/>
          </w:rPr>
          <w:t>299A</w:t>
        </w:r>
      </w:hyperlink>
      <w:r>
        <w:rPr>
          <w:rFonts w:ascii="Times New Roman" w:hAnsi="Times New Roman"/>
          <w:b w:val="false"/>
          <w:i w:val="false"/>
          <w:color w:val="000000"/>
          <w:sz w:val="22"/>
        </w:rPr>
        <w:t xml:space="preserve"> may access the program through the school district in which the accredited nonpublic school or private institution is located.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22.18(4)</w:t>
      </w:r>
      <w:r>
        <w:rPr>
          <w:rFonts w:ascii="Times New Roman" w:hAnsi="Times New Roman"/>
          <w:b w:val="false"/>
          <w:i w:val="false"/>
          <w:color w:val="000000"/>
          <w:sz w:val="22"/>
        </w:rPr>
        <w:t> </w:t>
      </w:r>
      <w:r>
        <w:rPr>
          <w:rFonts w:ascii="Times New Roman" w:hAnsi="Times New Roman"/>
          <w:b w:val="false"/>
          <w:i/>
          <w:color w:val="000000"/>
          <w:sz w:val="22"/>
        </w:rPr>
        <w:t xml:space="preserve">Curriculum. </w:t>
      </w:r>
      <w:r>
        <w:rPr>
          <w:rFonts w:ascii="Times New Roman" w:hAnsi="Times New Roman"/>
          <w:b w:val="false"/>
          <w:i w:val="false"/>
          <w:color w:val="000000"/>
          <w:sz w:val="22"/>
        </w:rPr>
        <w:t>A school district offering a project lead the way program will offer the curriculum developed by the national organization that administers the project lead the way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22.18(5)</w:t>
      </w:r>
      <w:r>
        <w:rPr>
          <w:rFonts w:ascii="Times New Roman" w:hAnsi="Times New Roman"/>
          <w:b w:val="false"/>
          <w:i w:val="false"/>
          <w:color w:val="000000"/>
          <w:sz w:val="22"/>
        </w:rPr>
        <w:t> </w:t>
      </w:r>
      <w:r>
        <w:rPr>
          <w:rFonts w:ascii="Times New Roman" w:hAnsi="Times New Roman"/>
          <w:b w:val="false"/>
          <w:i/>
          <w:color w:val="000000"/>
          <w:sz w:val="22"/>
        </w:rPr>
        <w:t xml:space="preserve">Instructor. </w:t>
      </w:r>
      <w:r>
        <w:rPr>
          <w:rFonts w:ascii="Times New Roman" w:hAnsi="Times New Roman"/>
          <w:b w:val="false"/>
          <w:i w:val="false"/>
          <w:color w:val="000000"/>
          <w:sz w:val="22"/>
        </w:rPr>
        <w:t>A school district will ensure that a teacher or instructor employed to provide instruction under this rule meets the following additional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teacher has successfully completed the training required by the national organization that administers the project lead the way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teacher meets the minimum requirements of the national organization that administers the project lead the way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teacher participates, on a regular basis, in available professional development provided by the national organization that administers the project lead the way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22.18(6)</w:t>
      </w:r>
      <w:r>
        <w:rPr>
          <w:rFonts w:ascii="Times New Roman" w:hAnsi="Times New Roman"/>
          <w:b w:val="false"/>
          <w:i w:val="false"/>
          <w:color w:val="000000"/>
          <w:sz w:val="22"/>
        </w:rPr>
        <w:t> </w:t>
      </w:r>
      <w:r>
        <w:rPr>
          <w:rFonts w:ascii="Times New Roman" w:hAnsi="Times New Roman"/>
          <w:b w:val="false"/>
          <w:i/>
          <w:color w:val="000000"/>
          <w:sz w:val="22"/>
        </w:rPr>
        <w:t xml:space="preserve">Accreditation standards.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project lead the way course may apply toward high school program accreditation standards pursuant to </w:t>
      </w:r>
      <w:hyperlink r:id="rId44">
        <w:r>
          <w:rPr>
            <w:rStyle w:val="Hyperlink"/>
            <w:rFonts w:ascii="Times New Roman" w:hAnsi="Times New Roman"/>
            <w:b w:val="false"/>
            <w:i w:val="false"/>
            <w:color w:val="000000"/>
            <w:sz w:val="22"/>
          </w:rPr>
          <w:t>281—Chapter 12</w:t>
        </w:r>
      </w:hyperlink>
      <w:r>
        <w:rPr>
          <w:rFonts w:ascii="Times New Roman" w:hAnsi="Times New Roman"/>
          <w:b w:val="false"/>
          <w:i w:val="false"/>
          <w:color w:val="000000"/>
          <w:sz w:val="22"/>
        </w:rPr>
        <w:t>. To meet the requirement, the instructor must be appropriately licensed and endorsed by the board of educational examiners to teach the subject area of the accreditation standard.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project lead the way course being taught is within a career and technical education program or is one in a sequence of project lead the way courses that collectively are used to meet one of the career and technical education sequential unit requirements of </w:t>
      </w:r>
      <w:hyperlink r:id="rId45">
        <w:r>
          <w:rPr>
            <w:rStyle w:val="Hyperlink"/>
            <w:rFonts w:ascii="Times New Roman" w:hAnsi="Times New Roman"/>
            <w:b w:val="false"/>
            <w:i w:val="false"/>
            <w:color w:val="000000"/>
            <w:sz w:val="22"/>
          </w:rPr>
          <w:t>281—Chapter 12</w:t>
        </w:r>
      </w:hyperlink>
      <w:r>
        <w:rPr>
          <w:rFonts w:ascii="Times New Roman" w:hAnsi="Times New Roman"/>
          <w:b w:val="false"/>
          <w:i w:val="false"/>
          <w:color w:val="000000"/>
          <w:sz w:val="22"/>
        </w:rPr>
        <w:t xml:space="preserve">, the program must be approved by the department pursuant to </w:t>
      </w:r>
      <w:hyperlink r:id="rId46">
        <w:r>
          <w:rPr>
            <w:rStyle w:val="Hyperlink"/>
            <w:rFonts w:ascii="Times New Roman" w:hAnsi="Times New Roman"/>
            <w:b w:val="false"/>
            <w:i w:val="false"/>
            <w:color w:val="000000"/>
            <w:sz w:val="22"/>
          </w:rPr>
          <w:t>281—Chapter 46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22.18(7)</w:t>
      </w:r>
      <w:r>
        <w:rPr>
          <w:rFonts w:ascii="Times New Roman" w:hAnsi="Times New Roman"/>
          <w:b w:val="false"/>
          <w:i w:val="false"/>
          <w:color w:val="000000"/>
          <w:sz w:val="22"/>
        </w:rPr>
        <w:t> </w:t>
      </w:r>
      <w:r>
        <w:rPr>
          <w:rFonts w:ascii="Times New Roman" w:hAnsi="Times New Roman"/>
          <w:b w:val="false"/>
          <w:i/>
          <w:color w:val="000000"/>
          <w:sz w:val="22"/>
        </w:rPr>
        <w:t xml:space="preserve">Collaborative project lead the way courses.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collaborative program for project lead the way courses is established to be administered by the department to promote rigorous science, technology, engineering, and mathematics pursuits in partnership with a community college established under Iowa Code chapter </w:t>
      </w:r>
      <w:hyperlink r:id="rId47">
        <w:r>
          <w:rPr>
            <w:rStyle w:val="Hyperlink"/>
            <w:rFonts w:ascii="Times New Roman" w:hAnsi="Times New Roman"/>
            <w:b w:val="false"/>
            <w:i w:val="false"/>
            <w:color w:val="000000"/>
            <w:sz w:val="22"/>
          </w:rPr>
          <w:t>260C</w:t>
        </w:r>
      </w:hyperlink>
      <w:r>
        <w:rPr>
          <w:rFonts w:ascii="Times New Roman" w:hAnsi="Times New Roman"/>
          <w:b w:val="false"/>
          <w:i w:val="false"/>
          <w:color w:val="000000"/>
          <w:sz w:val="22"/>
        </w:rPr>
        <w:t>. The program is to be made available to all resident students in grades 9 through 12.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comparable course, as defined in rules adopted by the board of directors of the school district consistent with department administrative rule, is not offered by the school district or accredited nonpublic school the student attends.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school district is to be certified by the national organization that administers the project lead the way program and have a signed agreement with that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To be eligible, institutions, instructors, and students are to meet the provisions of Iowa Code section </w:t>
      </w:r>
      <w:hyperlink r:id="rId48">
        <w:r>
          <w:rPr>
            <w:rStyle w:val="Hyperlink"/>
            <w:rFonts w:ascii="Times New Roman" w:hAnsi="Times New Roman"/>
            <w:b w:val="false"/>
            <w:i w:val="false"/>
            <w:color w:val="000000"/>
            <w:sz w:val="22"/>
          </w:rPr>
          <w:t>261E.3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school district may set additional eligibility requirements to ensure student readiness to achieve success. All students in the shared course are to meet the expectations of the national organization that administers the project lead the way program and be registered for college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A district-to-community college sharing program for project lead the way courses that meets the requirements of </w:t>
      </w:r>
      <w:hyperlink r:id="rId49">
        <w:r>
          <w:rPr>
            <w:rStyle w:val="Hyperlink"/>
            <w:rFonts w:ascii="Times New Roman" w:hAnsi="Times New Roman"/>
            <w:b w:val="false"/>
            <w:i w:val="false"/>
            <w:color w:val="000000"/>
            <w:sz w:val="22"/>
          </w:rPr>
          <w:t>281—subrule 97.2(6)</w:t>
        </w:r>
      </w:hyperlink>
      <w:r>
        <w:rPr>
          <w:rFonts w:ascii="Times New Roman" w:hAnsi="Times New Roman"/>
          <w:b w:val="false"/>
          <w:i w:val="false"/>
          <w:color w:val="000000"/>
          <w:sz w:val="22"/>
        </w:rPr>
        <w:t xml:space="preserve"> is eligible for funding under that provision for collaborative project lead the way career and technical education courses.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22.18(8)</w:t>
      </w:r>
      <w:r>
        <w:rPr>
          <w:rFonts w:ascii="Times New Roman" w:hAnsi="Times New Roman"/>
          <w:b w:val="false"/>
          <w:i w:val="false"/>
          <w:color w:val="000000"/>
          <w:sz w:val="22"/>
        </w:rPr>
        <w:t> </w:t>
      </w:r>
      <w:r>
        <w:rPr>
          <w:rFonts w:ascii="Times New Roman" w:hAnsi="Times New Roman"/>
          <w:b w:val="false"/>
          <w:i/>
          <w:color w:val="000000"/>
          <w:sz w:val="22"/>
        </w:rPr>
        <w:t xml:space="preserve">Credit.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school district shall grant high school credit to a student enrolled in a project lead the way course not offered by a community college. At a school district’s discretion, a project lead the way course may count toward a school district’s graduation requirements provided that the teacher is licensed by the board of educational examiners and endorsed within the subject area of the graduation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school district shall grant high school credit to a student enrolled in a project lead the way course for college credit under this chapter if the student successfully completes the course as determined by the community college and the course was previously approved by the school board pursuant to Iowa Code section </w:t>
      </w:r>
      <w:hyperlink r:id="rId50">
        <w:r>
          <w:rPr>
            <w:rStyle w:val="Hyperlink"/>
            <w:rFonts w:ascii="Times New Roman" w:hAnsi="Times New Roman"/>
            <w:b w:val="false"/>
            <w:i w:val="false"/>
            <w:color w:val="000000"/>
            <w:sz w:val="22"/>
          </w:rPr>
          <w:t>261E.8(3)</w:t>
        </w:r>
      </w:hyperlink>
      <w:r>
        <w:rPr>
          <w:rFonts w:ascii="Times New Roman" w:hAnsi="Times New Roman"/>
          <w:b w:val="false"/>
          <w:i w:val="false"/>
          <w:color w:val="000000"/>
          <w:sz w:val="22"/>
        </w:rPr>
        <w:t>. If a student is not successful in completing a project lead the way course as determined by the community college, the student’s high school transcript will reflect the failing grade. The board of directors of the school district determines the number of high school credits to be granted to a student who successfully completes a project lead the way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school district may offer a project lead the way course as an articulated course. Articulated courses are offered through an agreement between the district and the postsecondary institution that allows students to receive college credit at the postsecondary institution upon matriculation based on the demonstrated mastery of concepts in the high school course. An articulated course shall not be delivered by a postsecondary institution.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8048C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DIVISION IX</w:t>
      </w:r>
    </w:p>
    <w:p>
      <w:pPr>
        <w:pBdr>
          <w:bottom w:space="10"/>
        </w:pBdr>
        <w:spacing w:before="0" w:after="0"/>
        <w:ind w:left="120"/>
        <w:jc w:val="center"/>
      </w:pPr>
      <w:r>
        <w:rPr>
          <w:rFonts w:ascii="Times New Roman" w:hAnsi="Times New Roman"/>
          <w:b w:val="false"/>
          <w:i w:val="false"/>
          <w:color w:val="000000"/>
          <w:sz w:val="16"/>
        </w:rPr>
        <w:t>SUMMER COLLEGE CREDIT PROGRAM</w:t>
      </w:r>
    </w:p>
    <w:p>
      <w:pPr>
        <w:spacing w:before="0" w:after="0"/>
        <w:ind w:left="120"/>
        <w:jc w:val="both"/>
      </w:pPr>
      <w:r>
        <w:rPr>
          <w:rFonts w:ascii="Times New Roman" w:hAnsi="Times New Roman"/>
          <w:b/>
          <w:i w:val="false"/>
          <w:color w:val="000000"/>
          <w:sz w:val="22"/>
        </w:rPr>
        <w:t>281—22.19</w:t>
      </w:r>
      <w:r>
        <w:rPr>
          <w:rFonts w:ascii="Times New Roman" w:hAnsi="Times New Roman"/>
          <w:b/>
          <w:i w:val="false"/>
          <w:color w:val="000000"/>
          <w:sz w:val="22"/>
        </w:rPr>
        <w:t xml:space="preserve">(261E) </w:t>
      </w:r>
      <w:r>
        <w:rPr>
          <w:rFonts w:ascii="Times New Roman" w:hAnsi="Times New Roman"/>
          <w:b/>
          <w:i w:val="false"/>
          <w:color w:val="000000"/>
          <w:sz w:val="22"/>
        </w:rPr>
        <w:t xml:space="preserve">Summer college credit program.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22.19(1)</w:t>
      </w:r>
      <w:r>
        <w:rPr>
          <w:rFonts w:ascii="Times New Roman" w:hAnsi="Times New Roman"/>
          <w:b w:val="false"/>
          <w:i w:val="false"/>
          <w:color w:val="000000"/>
          <w:sz w:val="22"/>
        </w:rPr>
        <w:t> </w:t>
      </w:r>
      <w:r>
        <w:rPr>
          <w:rFonts w:ascii="Times New Roman" w:hAnsi="Times New Roman"/>
          <w:b w:val="false"/>
          <w:i/>
          <w:color w:val="000000"/>
          <w:sz w:val="22"/>
        </w:rPr>
        <w:t xml:space="preserve">Program established. </w:t>
      </w:r>
      <w:r>
        <w:rPr>
          <w:rFonts w:ascii="Times New Roman" w:hAnsi="Times New Roman"/>
          <w:b w:val="false"/>
          <w:i w:val="false"/>
          <w:color w:val="000000"/>
          <w:sz w:val="22"/>
        </w:rPr>
        <w:t xml:space="preserve">A summer college credit program is established to expand access for high school students to high-quality career and technical education experiences aligned with career pathways leading to postsecondary credentials and high-demand jobs. Programs approved under subrule </w:t>
      </w:r>
      <w:hyperlink r:id="rId51">
        <w:r>
          <w:rPr>
            <w:rStyle w:val="Hyperlink"/>
            <w:rFonts w:ascii="Times New Roman" w:hAnsi="Times New Roman"/>
            <w:b w:val="false"/>
            <w:i w:val="false"/>
            <w:color w:val="000000"/>
            <w:sz w:val="22"/>
          </w:rPr>
          <w:t>22.19(3)</w:t>
        </w:r>
      </w:hyperlink>
      <w:r>
        <w:rPr>
          <w:rFonts w:ascii="Times New Roman" w:hAnsi="Times New Roman"/>
          <w:b w:val="false"/>
          <w:i w:val="false"/>
          <w:color w:val="000000"/>
          <w:sz w:val="22"/>
        </w:rPr>
        <w:t xml:space="preserve"> will be offered during the summer term of an eligible postsecondary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22.19(2)</w:t>
      </w:r>
      <w:r>
        <w:rPr>
          <w:rFonts w:ascii="Times New Roman" w:hAnsi="Times New Roman"/>
          <w:b w:val="false"/>
          <w:i w:val="false"/>
          <w:color w:val="000000"/>
          <w:sz w:val="22"/>
        </w:rPr>
        <w:t> </w:t>
      </w:r>
      <w:r>
        <w:rPr>
          <w:rFonts w:ascii="Times New Roman" w:hAnsi="Times New Roman"/>
          <w:b w:val="false"/>
          <w:i/>
          <w:color w:val="000000"/>
          <w:sz w:val="22"/>
        </w:rPr>
        <w:t xml:space="preserve">Type of coursework offered. </w:t>
      </w:r>
      <w:r>
        <w:rPr>
          <w:rFonts w:ascii="Times New Roman" w:hAnsi="Times New Roman"/>
          <w:b w:val="false"/>
          <w:i w:val="false"/>
          <w:color w:val="000000"/>
          <w:sz w:val="22"/>
        </w:rPr>
        <w:t>The following provisions apply to coursework delivered through an approved program under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Coursework eligible to be offered through an approved program under this rule will be technical core coursework within and prerequisite coursework for a career and technical education program approved under </w:t>
      </w:r>
      <w:hyperlink r:id="rId52">
        <w:r>
          <w:rPr>
            <w:rStyle w:val="Hyperlink"/>
            <w:rFonts w:ascii="Times New Roman" w:hAnsi="Times New Roman"/>
            <w:b w:val="false"/>
            <w:i w:val="false"/>
            <w:color w:val="000000"/>
            <w:sz w:val="22"/>
          </w:rPr>
          <w:t>281—subrule 21.4(3)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career and technical education program is to be aligned with in-demand occupations identified by the state workforce development board and community colleges pursuant to Iowa Code section </w:t>
      </w:r>
      <w:hyperlink r:id="rId53">
        <w:r>
          <w:rPr>
            <w:rStyle w:val="Hyperlink"/>
            <w:rFonts w:ascii="Times New Roman" w:hAnsi="Times New Roman"/>
            <w:b w:val="false"/>
            <w:i w:val="false"/>
            <w:color w:val="000000"/>
            <w:sz w:val="22"/>
          </w:rPr>
          <w:t>84A.1B(14)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Coursework delivered under this rule shall comply with Iowa Code section </w:t>
      </w:r>
      <w:hyperlink r:id="rId54">
        <w:r>
          <w:rPr>
            <w:rStyle w:val="Hyperlink"/>
            <w:rFonts w:ascii="Times New Roman" w:hAnsi="Times New Roman"/>
            <w:b w:val="false"/>
            <w:i w:val="false"/>
            <w:color w:val="000000"/>
            <w:sz w:val="22"/>
          </w:rPr>
          <w:t>257.11(3)</w:t>
        </w:r>
      </w:hyperlink>
      <w:r>
        <w:rPr>
          <w:rFonts w:ascii="Times New Roman" w:hAnsi="Times New Roman"/>
          <w:b w:val="false"/>
          <w:i w:val="false"/>
          <w:color w:val="000000"/>
          <w:sz w:val="22"/>
        </w:rPr>
        <w:t>. The course will not be eligible for supplementary weighting under that section.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22.19(3)</w:t>
      </w:r>
      <w:r>
        <w:rPr>
          <w:rFonts w:ascii="Times New Roman" w:hAnsi="Times New Roman"/>
          <w:b w:val="false"/>
          <w:i w:val="false"/>
          <w:color w:val="000000"/>
          <w:sz w:val="22"/>
        </w:rPr>
        <w:t> </w:t>
      </w:r>
      <w:r>
        <w:rPr>
          <w:rFonts w:ascii="Times New Roman" w:hAnsi="Times New Roman"/>
          <w:b w:val="false"/>
          <w:i/>
          <w:color w:val="000000"/>
          <w:sz w:val="22"/>
        </w:rPr>
        <w:t xml:space="preserve">Program proposals. </w:t>
      </w:r>
      <w:r>
        <w:rPr>
          <w:rFonts w:ascii="Times New Roman" w:hAnsi="Times New Roman"/>
          <w:b w:val="false"/>
          <w:i w:val="false"/>
          <w:color w:val="000000"/>
          <w:sz w:val="22"/>
        </w:rPr>
        <w:t>The department will establish an annual process for the submission and review of proposals for summer college credit programs. A postsecondary institution eligible to offer programming under Division III of this chapter may submit program proposals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Minimum components. </w:t>
      </w:r>
      <w:r>
        <w:rPr>
          <w:rFonts w:ascii="Times New Roman" w:hAnsi="Times New Roman"/>
          <w:b w:val="false"/>
          <w:i w:val="false"/>
          <w:color w:val="000000"/>
          <w:sz w:val="22"/>
        </w:rPr>
        <w:t>The proposal will detail the following components: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program description, including the course or courses to be made available through the program; total number of credit hours; additional cocurricular experiences and activities including project-, problem-, and work-based learning opportunities; additional support services to be made available through the program; and any other pertinent program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total number of students that the program is capable of serving.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start date and duration of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Enrollment threshold. </w:t>
      </w:r>
      <w:r>
        <w:rPr>
          <w:rFonts w:ascii="Times New Roman" w:hAnsi="Times New Roman"/>
          <w:b w:val="false"/>
          <w:i w:val="false"/>
          <w:color w:val="000000"/>
          <w:sz w:val="22"/>
        </w:rPr>
        <w:t xml:space="preserve">The postsecondary institution will propose, and the department will approve, a minimum program enrollment threshold. Programs that surpass the minimum enrollment threshold shall be eligible for funding under paragraph </w:t>
      </w:r>
      <w:hyperlink r:id="rId55">
        <w:r>
          <w:rPr>
            <w:rStyle w:val="Hyperlink"/>
            <w:rFonts w:ascii="Times New Roman" w:hAnsi="Times New Roman"/>
            <w:b w:val="false"/>
            <w:i w:val="false"/>
            <w:color w:val="000000"/>
            <w:sz w:val="22"/>
          </w:rPr>
          <w:t>22.19(4)</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Review of proposals. </w:t>
      </w:r>
      <w:r>
        <w:rPr>
          <w:rFonts w:ascii="Times New Roman" w:hAnsi="Times New Roman"/>
          <w:b w:val="false"/>
          <w:i w:val="false"/>
          <w:color w:val="000000"/>
          <w:sz w:val="22"/>
        </w:rPr>
        <w:t>The department will establish a review process to evaluate all program proposals. In reviewing proposals, the department will give priority consideration to program proposals that will ensure equitable geographic disbursement of approved programs. The department will consider additional criteria including number of students served; alignment with in-demand occupations; the inclusion of extracurricular experiences with an emphasis on project-, problem-, and work-based learning opportunities; and the inclusion of provisions that address and remove barriers to participation for nontraditional students, underrepresented minority students, and low-income students.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Funding of proposals. </w:t>
      </w:r>
      <w:r>
        <w:rPr>
          <w:rFonts w:ascii="Times New Roman" w:hAnsi="Times New Roman"/>
          <w:b w:val="false"/>
          <w:i w:val="false"/>
          <w:color w:val="000000"/>
          <w:sz w:val="22"/>
        </w:rPr>
        <w:t xml:space="preserve">A program proposal approved under this rule is funded under paragraph </w:t>
      </w:r>
      <w:hyperlink r:id="rId56">
        <w:r>
          <w:rPr>
            <w:rStyle w:val="Hyperlink"/>
            <w:rFonts w:ascii="Times New Roman" w:hAnsi="Times New Roman"/>
            <w:b w:val="false"/>
            <w:i w:val="false"/>
            <w:color w:val="000000"/>
            <w:sz w:val="22"/>
          </w:rPr>
          <w:t>22.19(4)</w:t>
        </w:r>
      </w:hyperlink>
      <w:r>
        <w:rPr>
          <w:rFonts w:ascii="Times New Roman" w:hAnsi="Times New Roman"/>
          <w:b w:val="false"/>
          <w:i/>
          <w:color w:val="000000"/>
          <w:sz w:val="22"/>
        </w:rPr>
        <w:t>“a”</w:t>
      </w:r>
      <w:r>
        <w:rPr>
          <w:rFonts w:ascii="Times New Roman" w:hAnsi="Times New Roman"/>
          <w:b w:val="false"/>
          <w:i w:val="false"/>
          <w:color w:val="000000"/>
          <w:sz w:val="22"/>
        </w:rPr>
        <w:t xml:space="preserve"> for the amount described under paragraph </w:t>
      </w:r>
      <w:hyperlink r:id="rId57">
        <w:r>
          <w:rPr>
            <w:rStyle w:val="Hyperlink"/>
            <w:rFonts w:ascii="Times New Roman" w:hAnsi="Times New Roman"/>
            <w:b w:val="false"/>
            <w:i w:val="false"/>
            <w:color w:val="000000"/>
            <w:sz w:val="22"/>
          </w:rPr>
          <w:t>22.19(3)</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22.19(4)</w:t>
      </w:r>
      <w:r>
        <w:rPr>
          <w:rFonts w:ascii="Times New Roman" w:hAnsi="Times New Roman"/>
          <w:b w:val="false"/>
          <w:i w:val="false"/>
          <w:color w:val="000000"/>
          <w:sz w:val="22"/>
        </w:rPr>
        <w:t> </w:t>
      </w:r>
      <w:r>
        <w:rPr>
          <w:rFonts w:ascii="Times New Roman" w:hAnsi="Times New Roman"/>
          <w:b w:val="false"/>
          <w:i/>
          <w:color w:val="000000"/>
          <w:sz w:val="22"/>
        </w:rPr>
        <w:t xml:space="preserve">Disbursement of funds. </w:t>
      </w:r>
      <w:r>
        <w:rPr>
          <w:rFonts w:ascii="Times New Roman" w:hAnsi="Times New Roman"/>
          <w:b w:val="false"/>
          <w:i w:val="false"/>
          <w:color w:val="000000"/>
          <w:sz w:val="22"/>
        </w:rPr>
        <w:t>Subject to the appropriation of funds, the department will disburse funds to a postsecondary institution offering an approved program in the following manner. All funds received under this rule shall be used to support and sustain the approved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Base funding. </w:t>
      </w:r>
      <w:r>
        <w:rPr>
          <w:rFonts w:ascii="Times New Roman" w:hAnsi="Times New Roman"/>
          <w:b w:val="false"/>
          <w:i w:val="false"/>
          <w:color w:val="000000"/>
          <w:sz w:val="22"/>
        </w:rPr>
        <w:t xml:space="preserve">The amount of funds reserved for base funding as specified in paragraph </w:t>
      </w:r>
      <w:hyperlink r:id="rId58">
        <w:r>
          <w:rPr>
            <w:rStyle w:val="Hyperlink"/>
            <w:rFonts w:ascii="Times New Roman" w:hAnsi="Times New Roman"/>
            <w:b w:val="false"/>
            <w:i w:val="false"/>
            <w:color w:val="000000"/>
            <w:sz w:val="22"/>
          </w:rPr>
          <w:t>22.19(4)</w:t>
        </w:r>
      </w:hyperlink>
      <w:r>
        <w:rPr>
          <w:rFonts w:ascii="Times New Roman" w:hAnsi="Times New Roman"/>
          <w:b w:val="false"/>
          <w:i/>
          <w:color w:val="000000"/>
          <w:sz w:val="22"/>
        </w:rPr>
        <w:t>“c”</w:t>
      </w:r>
      <w:r>
        <w:rPr>
          <w:rFonts w:ascii="Times New Roman" w:hAnsi="Times New Roman"/>
          <w:b w:val="false"/>
          <w:i w:val="false"/>
          <w:color w:val="000000"/>
          <w:sz w:val="22"/>
        </w:rPr>
        <w:t xml:space="preserve"> will be distributed equally between approved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Enrollment. </w:t>
      </w:r>
      <w:r>
        <w:rPr>
          <w:rFonts w:ascii="Times New Roman" w:hAnsi="Times New Roman"/>
          <w:b w:val="false"/>
          <w:i w:val="false"/>
          <w:color w:val="000000"/>
          <w:sz w:val="22"/>
        </w:rPr>
        <w:t xml:space="preserve">Any funds not distributed under paragraph </w:t>
      </w:r>
      <w:hyperlink r:id="rId59">
        <w:r>
          <w:rPr>
            <w:rStyle w:val="Hyperlink"/>
            <w:rFonts w:ascii="Times New Roman" w:hAnsi="Times New Roman"/>
            <w:b w:val="false"/>
            <w:i w:val="false"/>
            <w:color w:val="000000"/>
            <w:sz w:val="22"/>
          </w:rPr>
          <w:t>22.19(4)</w:t>
        </w:r>
      </w:hyperlink>
      <w:r>
        <w:rPr>
          <w:rFonts w:ascii="Times New Roman" w:hAnsi="Times New Roman"/>
          <w:b w:val="false"/>
          <w:i/>
          <w:color w:val="000000"/>
          <w:sz w:val="22"/>
        </w:rPr>
        <w:t>“a”</w:t>
      </w:r>
      <w:r>
        <w:rPr>
          <w:rFonts w:ascii="Times New Roman" w:hAnsi="Times New Roman"/>
          <w:b w:val="false"/>
          <w:i w:val="false"/>
          <w:color w:val="000000"/>
          <w:sz w:val="22"/>
        </w:rPr>
        <w:t xml:space="preserve"> will be distributed to postsecondary institutions offering an approved program with student enrollment greater than the minimum enrollment threshold.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approved program shall gather a count of students enrolled in the program on the third day following the start date of the program, and submit this count to the department in a manner prescribed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Enrollment funding shall be calculated by the department for each program with enrollment greater than the minimum enrollment threshold. For purposes of this rule, the portion of enrollment funding to be received by a postsecondary institution offering an approved program is equal to the total student enrollment in the approved program divided by the total student enrollments statewide.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Subsequent years. </w:t>
      </w:r>
      <w:r>
        <w:rPr>
          <w:rFonts w:ascii="Times New Roman" w:hAnsi="Times New Roman"/>
          <w:b w:val="false"/>
          <w:i w:val="false"/>
          <w:color w:val="000000"/>
          <w:sz w:val="22"/>
        </w:rPr>
        <w:t>In each of the subsequent three years following the implementation year, the portion of the allocation distributed based on enrollment will increase by 10 percent each year until the minimum amount awarded based on enrollment is equal to 80 percent of the total allocation.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22.19(5)</w:t>
      </w:r>
      <w:r>
        <w:rPr>
          <w:rFonts w:ascii="Times New Roman" w:hAnsi="Times New Roman"/>
          <w:b w:val="false"/>
          <w:i w:val="false"/>
          <w:color w:val="000000"/>
          <w:sz w:val="22"/>
        </w:rPr>
        <w:t> </w:t>
      </w:r>
      <w:r>
        <w:rPr>
          <w:rFonts w:ascii="Times New Roman" w:hAnsi="Times New Roman"/>
          <w:b w:val="false"/>
          <w:i/>
          <w:color w:val="000000"/>
          <w:sz w:val="22"/>
        </w:rPr>
        <w:t xml:space="preserve">Availability. </w:t>
      </w:r>
      <w:r>
        <w:rPr>
          <w:rFonts w:ascii="Times New Roman" w:hAnsi="Times New Roman"/>
          <w:b w:val="false"/>
          <w:i w:val="false"/>
          <w:color w:val="000000"/>
          <w:sz w:val="22"/>
        </w:rPr>
        <w:t>A postsecondary institution offering an approved program shall enter into a contract with a school district interested in making the program available to eligible students of the school district. The program will be made available to any eligible student from a participating school district. An institution offering programming to a student under this rule will comply with Division III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Student eligibility. </w:t>
      </w:r>
      <w:r>
        <w:rPr>
          <w:rFonts w:ascii="Times New Roman" w:hAnsi="Times New Roman"/>
          <w:b w:val="false"/>
          <w:i w:val="false"/>
          <w:color w:val="000000"/>
          <w:sz w:val="22"/>
        </w:rPr>
        <w:t xml:space="preserve">To participate in an approved program, a student will comply with the criteria established under rules </w:t>
      </w:r>
      <w:hyperlink r:id="rId60">
        <w:r>
          <w:rPr>
            <w:rStyle w:val="Hyperlink"/>
            <w:rFonts w:ascii="Times New Roman" w:hAnsi="Times New Roman"/>
            <w:b w:val="false"/>
            <w:i w:val="false"/>
            <w:color w:val="000000"/>
            <w:sz w:val="22"/>
          </w:rPr>
          <w:t>281—22.2</w:t>
        </w:r>
      </w:hyperlink>
      <w:r>
        <w:rPr>
          <w:rFonts w:ascii="Times New Roman" w:hAnsi="Times New Roman"/>
          <w:b w:val="false"/>
          <w:i w:val="false"/>
          <w:color w:val="000000"/>
          <w:sz w:val="22"/>
        </w:rPr>
        <w:t xml:space="preserve">(261E) and </w:t>
      </w:r>
      <w:hyperlink r:id="rId61">
        <w:r>
          <w:rPr>
            <w:rStyle w:val="Hyperlink"/>
            <w:rFonts w:ascii="Times New Roman" w:hAnsi="Times New Roman"/>
            <w:b w:val="false"/>
            <w:i w:val="false"/>
            <w:color w:val="000000"/>
            <w:sz w:val="22"/>
          </w:rPr>
          <w:t>281—22.7</w:t>
        </w:r>
      </w:hyperlink>
      <w:r>
        <w:rPr>
          <w:rFonts w:ascii="Times New Roman" w:hAnsi="Times New Roman"/>
          <w:b w:val="false"/>
          <w:i w:val="false"/>
          <w:color w:val="000000"/>
          <w:sz w:val="22"/>
        </w:rPr>
        <w:t>(261E).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Teacher eligibility. </w:t>
      </w:r>
      <w:r>
        <w:rPr>
          <w:rFonts w:ascii="Times New Roman" w:hAnsi="Times New Roman"/>
          <w:b w:val="false"/>
          <w:i w:val="false"/>
          <w:color w:val="000000"/>
          <w:sz w:val="22"/>
        </w:rPr>
        <w:t xml:space="preserve">A teacher assigned to provide instruction under this rule will comply with the criteria established under rule </w:t>
      </w:r>
      <w:hyperlink r:id="rId62">
        <w:r>
          <w:rPr>
            <w:rStyle w:val="Hyperlink"/>
            <w:rFonts w:ascii="Times New Roman" w:hAnsi="Times New Roman"/>
            <w:b w:val="false"/>
            <w:i w:val="false"/>
            <w:color w:val="000000"/>
            <w:sz w:val="22"/>
          </w:rPr>
          <w:t>281—22.3</w:t>
        </w:r>
      </w:hyperlink>
      <w:r>
        <w:rPr>
          <w:rFonts w:ascii="Times New Roman" w:hAnsi="Times New Roman"/>
          <w:b w:val="false"/>
          <w:i w:val="false"/>
          <w:color w:val="000000"/>
          <w:sz w:val="22"/>
        </w:rPr>
        <w:t>(261E) and be a community college-employed instructor.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Institutional eligibility. </w:t>
      </w:r>
      <w:r>
        <w:rPr>
          <w:rFonts w:ascii="Times New Roman" w:hAnsi="Times New Roman"/>
          <w:b w:val="false"/>
          <w:i w:val="false"/>
          <w:color w:val="000000"/>
          <w:sz w:val="22"/>
        </w:rPr>
        <w:t xml:space="preserve">Institutions offering an approved program under this rule will comply with the criteria established under rule </w:t>
      </w:r>
      <w:hyperlink r:id="rId63">
        <w:r>
          <w:rPr>
            <w:rStyle w:val="Hyperlink"/>
            <w:rFonts w:ascii="Times New Roman" w:hAnsi="Times New Roman"/>
            <w:b w:val="false"/>
            <w:i w:val="false"/>
            <w:color w:val="000000"/>
            <w:sz w:val="22"/>
          </w:rPr>
          <w:t>281—22.4</w:t>
        </w:r>
      </w:hyperlink>
      <w:r>
        <w:rPr>
          <w:rFonts w:ascii="Times New Roman" w:hAnsi="Times New Roman"/>
          <w:b w:val="false"/>
          <w:i w:val="false"/>
          <w:color w:val="000000"/>
          <w:sz w:val="22"/>
        </w:rPr>
        <w:t>(261E).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8048C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64">
        <w:r>
          <w:rPr>
            <w:rStyle w:val="Hyperlink"/>
            <w:rFonts w:ascii="Times New Roman" w:hAnsi="Times New Roman"/>
            <w:b w:val="false"/>
            <w:i w:val="false"/>
            <w:color w:val="000000"/>
            <w:sz w:val="22"/>
          </w:rPr>
          <w:t>261E</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10/18/88, Notice 9/7/88—published 11/16/88, effective 12/21/88]</w:t>
      </w:r>
    </w:p>
    <w:p>
      <w:pPr>
        <w:spacing w:before="0" w:after="0"/>
        <w:ind w:left="120"/>
        <w:jc w:val="center"/>
      </w:pPr>
      <w:r>
        <w:rPr>
          <w:rFonts w:ascii="Times New Roman" w:hAnsi="Times New Roman"/>
          <w:b w:val="false"/>
          <w:i w:val="false"/>
          <w:color w:val="000000"/>
          <w:sz w:val="21"/>
        </w:rPr>
        <w:t>[Filed 10/12/90, Notice 9/5/90—published 10/31/90, effective 12/5/90]</w:t>
      </w:r>
    </w:p>
    <w:p>
      <w:pPr>
        <w:spacing w:before="0" w:after="0"/>
        <w:ind w:left="120"/>
        <w:jc w:val="center"/>
      </w:pPr>
      <w:r>
        <w:rPr>
          <w:rFonts w:ascii="Times New Roman" w:hAnsi="Times New Roman"/>
          <w:b w:val="false"/>
          <w:i w:val="false"/>
          <w:color w:val="000000"/>
          <w:sz w:val="21"/>
        </w:rPr>
        <w:t>[Filed 11/22/91, Notice 10/2/91—published 12/11/91, effective 1/15/92]</w:t>
      </w:r>
    </w:p>
    <w:p>
      <w:pPr>
        <w:spacing w:before="0" w:after="0"/>
        <w:ind w:left="120"/>
        <w:jc w:val="center"/>
      </w:pPr>
      <w:r>
        <w:rPr>
          <w:rFonts w:ascii="Times New Roman" w:hAnsi="Times New Roman"/>
          <w:b w:val="false"/>
          <w:i w:val="false"/>
          <w:color w:val="000000"/>
          <w:sz w:val="21"/>
        </w:rPr>
        <w:t>[Filed 12/14/92, Notice 9/16/92—published 1/6/93, effective 2/10/93]</w:t>
      </w:r>
    </w:p>
    <w:p>
      <w:pPr>
        <w:spacing w:before="0" w:after="0"/>
        <w:ind w:left="120"/>
        <w:jc w:val="center"/>
      </w:pPr>
      <w:r>
        <w:rPr>
          <w:rFonts w:ascii="Times New Roman" w:hAnsi="Times New Roman"/>
          <w:b w:val="false"/>
          <w:i w:val="false"/>
          <w:color w:val="000000"/>
          <w:sz w:val="21"/>
        </w:rPr>
        <w:t>[Filed 1/14/94, Notice 10/27/93—published 2/2/94, effective 3/9/94]</w:t>
      </w:r>
    </w:p>
    <w:p>
      <w:pPr>
        <w:spacing w:before="0" w:after="0"/>
        <w:ind w:left="120"/>
        <w:jc w:val="center"/>
      </w:pPr>
      <w:r>
        <w:rPr>
          <w:rFonts w:ascii="Times New Roman" w:hAnsi="Times New Roman"/>
          <w:b w:val="false"/>
          <w:i w:val="false"/>
          <w:color w:val="000000"/>
          <w:sz w:val="21"/>
        </w:rPr>
        <w:t>[Filed ARC 8187B</w:t>
      </w:r>
      <w:r>
        <w:rPr>
          <w:rFonts w:ascii="Times New Roman" w:hAnsi="Times New Roman"/>
          <w:b w:val="false"/>
          <w:i w:val="false"/>
          <w:color w:val="000000"/>
          <w:sz w:val="21"/>
        </w:rPr>
        <w:t xml:space="preserve"> (Notice ARC 7612B, IAB 3/11/09)</w:t>
      </w:r>
      <w:r>
        <w:rPr>
          <w:rFonts w:ascii="Times New Roman" w:hAnsi="Times New Roman"/>
          <w:b w:val="false"/>
          <w:i w:val="false"/>
          <w:color w:val="000000"/>
          <w:sz w:val="21"/>
        </w:rPr>
        <w:t>, IAB 10/7/09, effective 11/11/09]</w:t>
      </w:r>
    </w:p>
    <w:p>
      <w:pPr>
        <w:spacing w:before="0" w:after="0"/>
        <w:ind w:left="120"/>
        <w:jc w:val="center"/>
      </w:pPr>
      <w:r>
        <w:rPr>
          <w:rFonts w:ascii="Times New Roman" w:hAnsi="Times New Roman"/>
          <w:b w:val="false"/>
          <w:i w:val="false"/>
          <w:color w:val="000000"/>
          <w:sz w:val="21"/>
        </w:rPr>
        <w:t>[Filed ARC 9902B</w:t>
      </w:r>
      <w:r>
        <w:rPr>
          <w:rFonts w:ascii="Times New Roman" w:hAnsi="Times New Roman"/>
          <w:b w:val="false"/>
          <w:i w:val="false"/>
          <w:color w:val="000000"/>
          <w:sz w:val="21"/>
        </w:rPr>
        <w:t xml:space="preserve"> (Notice ARC 9791B, IAB 10/5/11)</w:t>
      </w:r>
      <w:r>
        <w:rPr>
          <w:rFonts w:ascii="Times New Roman" w:hAnsi="Times New Roman"/>
          <w:b w:val="false"/>
          <w:i w:val="false"/>
          <w:color w:val="000000"/>
          <w:sz w:val="21"/>
        </w:rPr>
        <w:t>, IAB 12/14/11, effective 1/18/12]</w:t>
      </w:r>
    </w:p>
    <w:p>
      <w:pPr>
        <w:spacing w:before="0" w:after="0"/>
        <w:ind w:left="120"/>
        <w:jc w:val="center"/>
      </w:pPr>
      <w:r>
        <w:rPr>
          <w:rFonts w:ascii="Times New Roman" w:hAnsi="Times New Roman"/>
          <w:b w:val="false"/>
          <w:i w:val="false"/>
          <w:color w:val="000000"/>
          <w:sz w:val="21"/>
        </w:rPr>
        <w:t>[Filed ARC 0526C</w:t>
      </w:r>
      <w:r>
        <w:rPr>
          <w:rFonts w:ascii="Times New Roman" w:hAnsi="Times New Roman"/>
          <w:b w:val="false"/>
          <w:i w:val="false"/>
          <w:color w:val="000000"/>
          <w:sz w:val="21"/>
        </w:rPr>
        <w:t xml:space="preserve"> (Notice ARC 0298C, IAB 8/22/12)</w:t>
      </w:r>
      <w:r>
        <w:rPr>
          <w:rFonts w:ascii="Times New Roman" w:hAnsi="Times New Roman"/>
          <w:b w:val="false"/>
          <w:i w:val="false"/>
          <w:color w:val="000000"/>
          <w:sz w:val="21"/>
        </w:rPr>
        <w:t>, IAB 12/12/12, effective 1/16/13]</w:t>
      </w:r>
      <w:r>
        <w:br/>
      </w:r>
      <w:r>
        <w:rPr>
          <w:rFonts w:ascii="Times New Roman" w:hAnsi="Times New Roman"/>
          <w:b w:val="false"/>
          <w:i w:val="false"/>
          <w:color w:val="000000"/>
          <w:sz w:val="21"/>
        </w:rPr>
        <w:t>[Filed ARC 0519C</w:t>
      </w:r>
      <w:r>
        <w:rPr>
          <w:rFonts w:ascii="Times New Roman" w:hAnsi="Times New Roman"/>
          <w:b w:val="false"/>
          <w:i w:val="false"/>
          <w:color w:val="000000"/>
          <w:sz w:val="21"/>
        </w:rPr>
        <w:t xml:space="preserve"> (Notice ARC 0386C, IAB 10/3/12)</w:t>
      </w:r>
      <w:r>
        <w:rPr>
          <w:rFonts w:ascii="Times New Roman" w:hAnsi="Times New Roman"/>
          <w:b w:val="false"/>
          <w:i w:val="false"/>
          <w:color w:val="000000"/>
          <w:sz w:val="21"/>
        </w:rPr>
        <w:t>, IAB 12/12/12, effective 1/16/13]</w:t>
      </w:r>
    </w:p>
    <w:p>
      <w:pPr>
        <w:spacing w:before="0" w:after="0"/>
        <w:ind w:left="120"/>
        <w:jc w:val="center"/>
      </w:pPr>
      <w:r>
        <w:rPr>
          <w:rFonts w:ascii="Times New Roman" w:hAnsi="Times New Roman"/>
          <w:b w:val="false"/>
          <w:i w:val="false"/>
          <w:color w:val="000000"/>
          <w:sz w:val="21"/>
        </w:rPr>
        <w:t>[Filed Emergency After Notice ARC 4293C</w:t>
      </w:r>
      <w:r>
        <w:rPr>
          <w:rFonts w:ascii="Times New Roman" w:hAnsi="Times New Roman"/>
          <w:b w:val="false"/>
          <w:i w:val="false"/>
          <w:color w:val="000000"/>
          <w:sz w:val="21"/>
        </w:rPr>
        <w:t xml:space="preserve"> (Notice ARC 4155C, IAB 12/5/18)</w:t>
      </w:r>
      <w:r>
        <w:rPr>
          <w:rFonts w:ascii="Times New Roman" w:hAnsi="Times New Roman"/>
          <w:b w:val="false"/>
          <w:i w:val="false"/>
          <w:color w:val="000000"/>
          <w:sz w:val="21"/>
        </w:rPr>
        <w:t>, IAB 2/13/19, effective 1/17/19]</w:t>
      </w:r>
    </w:p>
    <w:p>
      <w:pPr>
        <w:spacing w:before="0" w:after="0"/>
        <w:ind w:left="120"/>
        <w:jc w:val="center"/>
      </w:pPr>
      <w:r>
        <w:rPr>
          <w:rFonts w:ascii="Times New Roman" w:hAnsi="Times New Roman"/>
          <w:b w:val="false"/>
          <w:i w:val="false"/>
          <w:color w:val="000000"/>
          <w:sz w:val="21"/>
        </w:rPr>
        <w:t>[Filed ARC 4809C</w:t>
      </w:r>
      <w:r>
        <w:rPr>
          <w:rFonts w:ascii="Times New Roman" w:hAnsi="Times New Roman"/>
          <w:b w:val="false"/>
          <w:i w:val="false"/>
          <w:color w:val="000000"/>
          <w:sz w:val="21"/>
        </w:rPr>
        <w:t xml:space="preserve"> (Notice ARC 4683C, IAB 10/9/19)</w:t>
      </w:r>
      <w:r>
        <w:rPr>
          <w:rFonts w:ascii="Times New Roman" w:hAnsi="Times New Roman"/>
          <w:b w:val="false"/>
          <w:i w:val="false"/>
          <w:color w:val="000000"/>
          <w:sz w:val="21"/>
        </w:rPr>
        <w:t>, IAB 12/18/19, effective 1/22/20]</w:t>
      </w:r>
    </w:p>
    <w:p>
      <w:pPr>
        <w:spacing w:before="0" w:after="0"/>
        <w:ind w:left="120"/>
        <w:jc w:val="center"/>
      </w:pPr>
      <w:r>
        <w:rPr>
          <w:rFonts w:ascii="Times New Roman" w:hAnsi="Times New Roman"/>
          <w:b w:val="false"/>
          <w:i w:val="false"/>
          <w:color w:val="000000"/>
          <w:sz w:val="21"/>
        </w:rPr>
        <w:t>[Filed ARC 5326C</w:t>
      </w:r>
      <w:r>
        <w:rPr>
          <w:rFonts w:ascii="Times New Roman" w:hAnsi="Times New Roman"/>
          <w:b w:val="false"/>
          <w:i w:val="false"/>
          <w:color w:val="000000"/>
          <w:sz w:val="21"/>
        </w:rPr>
        <w:t xml:space="preserve"> (Notice ARC 5208C, IAB 10/7/20)</w:t>
      </w:r>
      <w:r>
        <w:rPr>
          <w:rFonts w:ascii="Times New Roman" w:hAnsi="Times New Roman"/>
          <w:b w:val="false"/>
          <w:i w:val="false"/>
          <w:color w:val="000000"/>
          <w:sz w:val="21"/>
        </w:rPr>
        <w:t>, IAB 12/16/20, effective 1/20/21]</w:t>
      </w:r>
    </w:p>
    <w:p>
      <w:pPr>
        <w:spacing w:before="0" w:after="0"/>
        <w:ind w:left="120"/>
        <w:jc w:val="center"/>
      </w:pPr>
      <w:r>
        <w:rPr>
          <w:rFonts w:ascii="Times New Roman" w:hAnsi="Times New Roman"/>
          <w:b w:val="false"/>
          <w:i w:val="false"/>
          <w:color w:val="000000"/>
          <w:sz w:val="21"/>
        </w:rPr>
        <w:t>[Filed ARC 5871C</w:t>
      </w:r>
      <w:r>
        <w:rPr>
          <w:rFonts w:ascii="Times New Roman" w:hAnsi="Times New Roman"/>
          <w:b w:val="false"/>
          <w:i w:val="false"/>
          <w:color w:val="000000"/>
          <w:sz w:val="21"/>
        </w:rPr>
        <w:t xml:space="preserve"> (Notice ARC 5661C, IAB 6/2/21)</w:t>
      </w:r>
      <w:r>
        <w:rPr>
          <w:rFonts w:ascii="Times New Roman" w:hAnsi="Times New Roman"/>
          <w:b w:val="false"/>
          <w:i w:val="false"/>
          <w:color w:val="000000"/>
          <w:sz w:val="21"/>
        </w:rPr>
        <w:t>, IAB 8/25/21, effective 9/29/21]</w:t>
      </w:r>
    </w:p>
    <w:p>
      <w:pPr>
        <w:spacing w:before="0" w:after="0"/>
        <w:ind w:left="120"/>
        <w:jc w:val="center"/>
      </w:pPr>
      <w:r>
        <w:rPr>
          <w:rFonts w:ascii="Times New Roman" w:hAnsi="Times New Roman"/>
          <w:b w:val="false"/>
          <w:i w:val="false"/>
          <w:color w:val="000000"/>
          <w:sz w:val="21"/>
        </w:rPr>
        <w:t>[Filed ARC 8048C</w:t>
      </w:r>
      <w:r>
        <w:rPr>
          <w:rFonts w:ascii="Times New Roman" w:hAnsi="Times New Roman"/>
          <w:b w:val="false"/>
          <w:i w:val="false"/>
          <w:color w:val="000000"/>
          <w:sz w:val="21"/>
        </w:rPr>
        <w:t xml:space="preserve"> (Notice ARC 7586C, IAB 2/7/24)</w:t>
      </w:r>
      <w:r>
        <w:rPr>
          <w:rFonts w:ascii="Times New Roman" w:hAnsi="Times New Roman"/>
          <w:b w:val="false"/>
          <w:i w:val="false"/>
          <w:color w:val="000000"/>
          <w:sz w:val="21"/>
        </w:rPr>
        <w:t>, IAB 6/12/24, effective 7/17/24]</w:t>
      </w:r>
    </w:p>
    <w:p>
      <w:pPr>
        <w:spacing w:before="0" w:after="0"/>
        <w:ind w:left="120"/>
        <w:jc w:val="center"/>
      </w:pPr>
      <w:r>
        <w:rPr>
          <w:rFonts w:ascii="Times New Roman" w:hAnsi="Times New Roman"/>
          <w:b w:val="false"/>
          <w:i w:val="false"/>
          <w:color w:val="000000"/>
          <w:sz w:val="21"/>
        </w:rPr>
        <w:t>[Editorial change: IAC Supplement 10/2/24]</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61E.pdf" Type="http://schemas.openxmlformats.org/officeDocument/2006/relationships/hyperlink" Id="rId4"/>
    <Relationship TargetMode="External" Target="https://www.legis.iowa.gov/docs/ico/chapter/299A.pdf" Type="http://schemas.openxmlformats.org/officeDocument/2006/relationships/hyperlink" Id="rId5"/>
    <Relationship TargetMode="External" Target="https://www.legis.iowa.gov/docs/ico/chapter/299A.pdf" Type="http://schemas.openxmlformats.org/officeDocument/2006/relationships/hyperlink" Id="rId6"/>
    <Relationship TargetMode="External" Target="https://www.legis.iowa.gov/docs/iac/chapter/281.31.pdf" Type="http://schemas.openxmlformats.org/officeDocument/2006/relationships/hyperlink" Id="rId7"/>
    <Relationship TargetMode="External" Target="https://www.legis.iowa.gov/docs/ico/chapter/261E.pdf" Type="http://schemas.openxmlformats.org/officeDocument/2006/relationships/hyperlink" Id="rId8"/>
    <Relationship TargetMode="External" Target="https://www.legis.iowa.gov/docs/ico/chapter/261E.pdf" Type="http://schemas.openxmlformats.org/officeDocument/2006/relationships/hyperlink" Id="rId9"/>
    <Relationship TargetMode="External" Target="https://www.legis.iowa.gov/docs/ico/chapter/261E.pdf" Type="http://schemas.openxmlformats.org/officeDocument/2006/relationships/hyperlink" Id="rId10"/>
    <Relationship TargetMode="External" Target="https://www.legis.iowa.gov/docs/ico/chapter/261E.pdf" Type="http://schemas.openxmlformats.org/officeDocument/2006/relationships/hyperlink" Id="rId11"/>
    <Relationship TargetMode="External" Target="https://www.legis.iowa.gov/docs/ico/chapter/261E.pdf" Type="http://schemas.openxmlformats.org/officeDocument/2006/relationships/hyperlink" Id="rId12"/>
    <Relationship TargetMode="External" Target="https://www.legis.iowa.gov/docs/ico/chapter/261E.pdf" Type="http://schemas.openxmlformats.org/officeDocument/2006/relationships/hyperlink" Id="rId13"/>
    <Relationship TargetMode="External" Target="https://www.legis.iowa.gov/docs/ico/chapter/261E.pdf" Type="http://schemas.openxmlformats.org/officeDocument/2006/relationships/hyperlink" Id="rId14"/>
    <Relationship TargetMode="External" Target="https://www.legis.iowa.gov/docs/ico/chapter/261E.pdf" Type="http://schemas.openxmlformats.org/officeDocument/2006/relationships/hyperlink" Id="rId15"/>
    <Relationship TargetMode="External" Target="https://www.legis.iowa.gov/docs/iac/rule/281.257.11.pdf" Type="http://schemas.openxmlformats.org/officeDocument/2006/relationships/hyperlink" Id="rId16"/>
    <Relationship TargetMode="External" Target="https://www.legis.iowa.gov/docs/ico/chapter/261E.pdf" Type="http://schemas.openxmlformats.org/officeDocument/2006/relationships/hyperlink" Id="rId17"/>
    <Relationship TargetMode="External" Target="https://www.legis.iowa.gov/docs/ico/chapter/279.pdf" Type="http://schemas.openxmlformats.org/officeDocument/2006/relationships/hyperlink" Id="rId18"/>
    <Relationship TargetMode="External" Target="https://www.legis.iowa.gov/docs/ico/chapter/261E.pdf" Type="http://schemas.openxmlformats.org/officeDocument/2006/relationships/hyperlink" Id="rId19"/>
    <Relationship TargetMode="External" Target="https://www.legis.iowa.gov/docs/ico/chapter/261E.pdf" Type="http://schemas.openxmlformats.org/officeDocument/2006/relationships/hyperlink" Id="rId20"/>
    <Relationship TargetMode="External" Target="https://www.legis.iowa.gov/docs/ico/chapter/261E.pdf" Type="http://schemas.openxmlformats.org/officeDocument/2006/relationships/hyperlink" Id="rId21"/>
    <Relationship TargetMode="External" Target="https://www.legis.iowa.gov/docs/ico/chapter/261E.pdf" Type="http://schemas.openxmlformats.org/officeDocument/2006/relationships/hyperlink" Id="rId22"/>
    <Relationship TargetMode="External" Target="https://www.legis.iowa.gov/docs/ico/chapter/261E.pdf" Type="http://schemas.openxmlformats.org/officeDocument/2006/relationships/hyperlink" Id="rId23"/>
    <Relationship TargetMode="External" Target="https://www.legis.iowa.gov/docs/ico/chapter/299A.pdf" Type="http://schemas.openxmlformats.org/officeDocument/2006/relationships/hyperlink" Id="rId24"/>
    <Relationship TargetMode="External" Target="https://www.legis.iowa.gov/docs/iac/chapter/281.31.pdf" Type="http://schemas.openxmlformats.org/officeDocument/2006/relationships/hyperlink" Id="rId25"/>
    <Relationship TargetMode="External" Target="https://www.legis.iowa.gov/docs/iac/rule/281.22.7.pdf" Type="http://schemas.openxmlformats.org/officeDocument/2006/relationships/hyperlink" Id="rId26"/>
    <Relationship TargetMode="External" Target="https://www.legis.iowa.gov/docs/iac/rule/281.22.7.pdf" Type="http://schemas.openxmlformats.org/officeDocument/2006/relationships/hyperlink" Id="rId27"/>
    <Relationship TargetMode="External" Target="https://www.legis.iowa.gov/docs/iac/rule/281.97.7.pdf" Type="http://schemas.openxmlformats.org/officeDocument/2006/relationships/hyperlink" Id="rId28"/>
    <Relationship TargetMode="External" Target="https://www.legis.iowa.gov/docs/ico/chapter/261E.pdf" Type="http://schemas.openxmlformats.org/officeDocument/2006/relationships/hyperlink" Id="rId29"/>
    <Relationship TargetMode="External" Target="https://www.legis.iowa.gov/docs/ico/chapter/261E.pdf" Type="http://schemas.openxmlformats.org/officeDocument/2006/relationships/hyperlink" Id="rId30"/>
    <Relationship TargetMode="External" Target="https://www.legis.iowa.gov/docs/ico/chapter/260C.pdf" Type="http://schemas.openxmlformats.org/officeDocument/2006/relationships/hyperlink" Id="rId31"/>
    <Relationship TargetMode="External" Target="https://www.legis.iowa.gov/docs/ico/chapter/261E.pdf" Type="http://schemas.openxmlformats.org/officeDocument/2006/relationships/hyperlink" Id="rId32"/>
    <Relationship TargetMode="External" Target="https://www.legis.iowa.gov/docs/ico/chapter/257.pdf" Type="http://schemas.openxmlformats.org/officeDocument/2006/relationships/hyperlink" Id="rId33"/>
    <Relationship TargetMode="External" Target="https://www.legis.iowa.gov/docs/ico/chapter/257.pdf" Type="http://schemas.openxmlformats.org/officeDocument/2006/relationships/hyperlink" Id="rId34"/>
    <Relationship TargetMode="External" Target="https://www.legis.iowa.gov/docs/ico/chapter/261E.pdf" Type="http://schemas.openxmlformats.org/officeDocument/2006/relationships/hyperlink" Id="rId35"/>
    <Relationship TargetMode="External" Target="https://www.legis.iowa.gov/docs/ico/chapter/261E.pdf" Type="http://schemas.openxmlformats.org/officeDocument/2006/relationships/hyperlink" Id="rId36"/>
    <Relationship TargetMode="External" Target="https://www.legis.iowa.gov/docs/ico/chapter/261E.pdf" Type="http://schemas.openxmlformats.org/officeDocument/2006/relationships/hyperlink" Id="rId37"/>
    <Relationship TargetMode="External" Target="https://www.legis.iowa.gov/docs/ico/chapter/258.pdf" Type="http://schemas.openxmlformats.org/officeDocument/2006/relationships/hyperlink" Id="rId38"/>
    <Relationship TargetMode="External" Target="https://www.legis.iowa.gov/docs/ico/chapter/261E.pdf" Type="http://schemas.openxmlformats.org/officeDocument/2006/relationships/hyperlink" Id="rId39"/>
    <Relationship TargetMode="External" Target="https://www.legis.iowa.gov/docs/ico/chapter/261E.pdf" Type="http://schemas.openxmlformats.org/officeDocument/2006/relationships/hyperlink" Id="rId40"/>
    <Relationship TargetMode="External" Target="https://www.legis.iowa.gov/docs/ico/chapter/261E.pdf" Type="http://schemas.openxmlformats.org/officeDocument/2006/relationships/hyperlink" Id="rId41"/>
    <Relationship TargetMode="External" Target="https://www.legis.iowa.gov/docs/ico/chapter/279.pdf" Type="http://schemas.openxmlformats.org/officeDocument/2006/relationships/hyperlink" Id="rId42"/>
    <Relationship TargetMode="External" Target="https://www.legis.iowa.gov/docs/ico/chapter/299A.pdf" Type="http://schemas.openxmlformats.org/officeDocument/2006/relationships/hyperlink" Id="rId43"/>
    <Relationship TargetMode="External" Target="https://www.legis.iowa.gov/docs/iac/chapter/281.12.pdf" Type="http://schemas.openxmlformats.org/officeDocument/2006/relationships/hyperlink" Id="rId44"/>
    <Relationship TargetMode="External" Target="https://www.legis.iowa.gov/docs/iac/chapter/281.12.pdf" Type="http://schemas.openxmlformats.org/officeDocument/2006/relationships/hyperlink" Id="rId45"/>
    <Relationship TargetMode="External" Target="https://www.legis.iowa.gov/docs/iac/chapter/281.46.pdf" Type="http://schemas.openxmlformats.org/officeDocument/2006/relationships/hyperlink" Id="rId46"/>
    <Relationship TargetMode="External" Target="https://www.legis.iowa.gov/docs/ico/chapter/260C.pdf" Type="http://schemas.openxmlformats.org/officeDocument/2006/relationships/hyperlink" Id="rId47"/>
    <Relationship TargetMode="External" Target="https://www.legis.iowa.gov/docs/ico/chapter/261E.pdf" Type="http://schemas.openxmlformats.org/officeDocument/2006/relationships/hyperlink" Id="rId48"/>
    <Relationship TargetMode="External" Target="https://www.legis.iowa.gov/docs/iac/rule/281.97.2.pdf" Type="http://schemas.openxmlformats.org/officeDocument/2006/relationships/hyperlink" Id="rId49"/>
    <Relationship TargetMode="External" Target="https://www.legis.iowa.gov/docs/ico/chapter/261E.pdf" Type="http://schemas.openxmlformats.org/officeDocument/2006/relationships/hyperlink" Id="rId50"/>
    <Relationship TargetMode="External" Target="https://www.legis.iowa.gov/docs/iac/rule/281.22.19.pdf" Type="http://schemas.openxmlformats.org/officeDocument/2006/relationships/hyperlink" Id="rId51"/>
    <Relationship TargetMode="External" Target="https://www.legis.iowa.gov/docs/iac/rule/281.21.4.pdf" Type="http://schemas.openxmlformats.org/officeDocument/2006/relationships/hyperlink" Id="rId52"/>
    <Relationship TargetMode="External" Target="https://www.legis.iowa.gov/docs/ico/chapter/84A.pdf" Type="http://schemas.openxmlformats.org/officeDocument/2006/relationships/hyperlink" Id="rId53"/>
    <Relationship TargetMode="External" Target="https://www.legis.iowa.gov/docs/ico/chapter/257.pdf" Type="http://schemas.openxmlformats.org/officeDocument/2006/relationships/hyperlink" Id="rId54"/>
    <Relationship TargetMode="External" Target="https://www.legis.iowa.gov/docs/iac/rule/281.22.19.pdf" Type="http://schemas.openxmlformats.org/officeDocument/2006/relationships/hyperlink" Id="rId55"/>
    <Relationship TargetMode="External" Target="https://www.legis.iowa.gov/docs/iac/rule/281.22.19.pdf" Type="http://schemas.openxmlformats.org/officeDocument/2006/relationships/hyperlink" Id="rId56"/>
    <Relationship TargetMode="External" Target="https://www.legis.iowa.gov/docs/iac/rule/281.22.19.pdf" Type="http://schemas.openxmlformats.org/officeDocument/2006/relationships/hyperlink" Id="rId57"/>
    <Relationship TargetMode="External" Target="https://www.legis.iowa.gov/docs/iac/rule/281.22.19.pdf" Type="http://schemas.openxmlformats.org/officeDocument/2006/relationships/hyperlink" Id="rId58"/>
    <Relationship TargetMode="External" Target="https://www.legis.iowa.gov/docs/iac/rule/281.22.19.pdf" Type="http://schemas.openxmlformats.org/officeDocument/2006/relationships/hyperlink" Id="rId59"/>
    <Relationship TargetMode="External" Target="https://www.legis.iowa.gov/docs/iac/rule/281.22.2.pdf" Type="http://schemas.openxmlformats.org/officeDocument/2006/relationships/hyperlink" Id="rId60"/>
    <Relationship TargetMode="External" Target="https://www.legis.iowa.gov/docs/iac/rule/281.22.7.pdf" Type="http://schemas.openxmlformats.org/officeDocument/2006/relationships/hyperlink" Id="rId61"/>
    <Relationship TargetMode="External" Target="https://www.legis.iowa.gov/docs/iac/rule/281.22.3.pdf" Type="http://schemas.openxmlformats.org/officeDocument/2006/relationships/hyperlink" Id="rId62"/>
    <Relationship TargetMode="External" Target="https://www.legis.iowa.gov/docs/iac/rule/281.22.4.pdf" Type="http://schemas.openxmlformats.org/officeDocument/2006/relationships/hyperlink" Id="rId63"/>
    <Relationship TargetMode="External" Target="https://www.legis.iowa.gov/docs/ico/chapter/261E.pdf" Type="http://schemas.openxmlformats.org/officeDocument/2006/relationships/hyperlink" Id="rId6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