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STRATEGIC INFRASTRUCTURE PROGRAM</w:t>
      </w:r>
    </w:p>
    <w:p>
      <w:pPr>
        <w:spacing w:before="0" w:after="0"/>
        <w:ind w:left="120"/>
        <w:jc w:val="both"/>
      </w:pPr>
      <w:r>
        <w:rPr>
          <w:rFonts w:ascii="Times New Roman" w:hAnsi="Times New Roman"/>
          <w:b/>
          <w:i w:val="false"/>
          <w:color w:val="000000"/>
          <w:sz w:val="22"/>
        </w:rPr>
        <w:t>261—118.1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strategic infrastructure program is to assist projects that develop commonly utilized assets that provide an advantage to one or more private sector entities or that create necessary physical infrastructure in the state of Iowa, and such projects are not adequately provided by the public or private sectors.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4">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Iowa innovation council established pursuant to Iowa Code section </w:t>
      </w:r>
      <w:hyperlink r:id="rId6">
        <w:r>
          <w:rPr>
            <w:rStyle w:val="Hyperlink"/>
            <w:rFonts w:ascii="Times New Roman" w:hAnsi="Times New Roman"/>
            <w:b w:val="false"/>
            <w:i w:val="false"/>
            <w:color w:val="000000"/>
            <w:sz w:val="22"/>
          </w:rPr>
          <w:t>15.117A</w:t>
        </w:r>
      </w:hyperlink>
      <w:r>
        <w:rPr>
          <w:rFonts w:ascii="Times New Roman" w:hAnsi="Times New Roman"/>
          <w:b w:val="false"/>
          <w:i w:val="false"/>
          <w:color w:val="000000"/>
          <w:sz w:val="22"/>
        </w:rPr>
        <w:t xml:space="preserve">, any panel or committee composed of members of the council, or a committee appointed pursuant to Iowa Code section </w:t>
      </w:r>
      <w:hyperlink r:id="rId7">
        <w:r>
          <w:rPr>
            <w:rStyle w:val="Hyperlink"/>
            <w:rFonts w:ascii="Times New Roman" w:hAnsi="Times New Roman"/>
            <w:b w:val="false"/>
            <w:i w:val="false"/>
            <w:color w:val="000000"/>
            <w:sz w:val="22"/>
          </w:rPr>
          <w:t>15.117A(7)</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strategic infrastructure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“Strategic infrastructure”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improvement”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and application requirements. </w:t>
      </w:r>
      <w:r>
        <w:rPr>
          <w:rFonts w:ascii="Times New Roman" w:hAnsi="Times New Roman"/>
          <w:b w:val="false"/>
          <w:i w:val="false"/>
          <w:color w:val="000000"/>
          <w:sz w:val="22"/>
        </w:rPr>
        <w:t>To be eligible for financial assistance under the program, an applicant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propose to invest in strategic infrastructure and describe how each element in Iowa Code section </w:t>
      </w:r>
      <w:hyperlink r:id="rId11">
        <w:r>
          <w:rPr>
            <w:rStyle w:val="Hyperlink"/>
            <w:rFonts w:ascii="Times New Roman" w:hAnsi="Times New Roman"/>
            <w:b w:val="false"/>
            <w:i w:val="false"/>
            <w:color w:val="000000"/>
            <w:sz w:val="22"/>
          </w:rPr>
          <w:t>15.313(4)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describe in detail the nature, scope, design, and goals of the proposed strategic infrastructure project, including the relationships of the entities and individuals involved.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w:t>
      </w:r>
      <w:r>
        <w:rPr>
          <w:rFonts w:ascii="Times New Roman" w:hAnsi="Times New Roman"/>
          <w:b w:val="false"/>
          <w:i w:val="false"/>
          <w:color w:val="000000"/>
          <w:sz w:val="22"/>
        </w:rPr>
        <w:t> </w:t>
      </w:r>
      <w:r>
        <w:rPr>
          <w:rFonts w:ascii="Times New Roman" w:hAnsi="Times New Roman"/>
          <w:b w:val="false"/>
          <w:i w:val="false"/>
          <w:color w:val="000000"/>
          <w:sz w:val="22"/>
        </w:rPr>
        <w:t>The applicant must describe the proposed financing structure for the proposed infrastructure project, including the sources of funds and the proposed uses of the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process and invite applicants with strategic infrastructure projects that may be eligible for the program to apply. To apply for assistance under the program, an applicant shall submit an application to the authority in the form and manner prescribed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accepted on a continuing basis and processed by authority staff. Applications will be reviewed in the order received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applications or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will score applications according to the criteria specified in rule </w:t>
      </w:r>
      <w:hyperlink r:id="rId12">
        <w:r>
          <w:rPr>
            <w:rStyle w:val="Hyperlink"/>
            <w:rFonts w:ascii="Times New Roman" w:hAnsi="Times New Roman"/>
            <w:b w:val="false"/>
            <w:i w:val="false"/>
            <w:color w:val="000000"/>
            <w:sz w:val="22"/>
          </w:rPr>
          <w:t>261—118.7</w:t>
        </w:r>
      </w:hyperlink>
      <w:r>
        <w:rPr>
          <w:rFonts w:ascii="Times New Roman" w:hAnsi="Times New Roman"/>
          <w:b w:val="false"/>
          <w:i w:val="false"/>
          <w:color w:val="000000"/>
          <w:sz w:val="22"/>
        </w:rPr>
        <w:t xml:space="preserve">(15) and make recommendations to the board pursuant to Iowa Code section </w:t>
      </w:r>
      <w:hyperlink r:id="rId13">
        <w:r>
          <w:rPr>
            <w:rStyle w:val="Hyperlink"/>
            <w:rFonts w:ascii="Times New Roman" w:hAnsi="Times New Roman"/>
            <w:b w:val="false"/>
            <w:i w:val="false"/>
            <w:color w:val="000000"/>
            <w:sz w:val="22"/>
          </w:rPr>
          <w:t>15.313(3)</w:t>
        </w:r>
      </w:hyperlink>
      <w:r>
        <w:rPr>
          <w:rFonts w:ascii="Times New Roman" w:hAnsi="Times New Roman"/>
          <w:b w:val="false"/>
          <w:i w:val="false"/>
          <w:color w:val="000000"/>
          <w:sz w:val="22"/>
        </w:rPr>
        <w:t>. The board will take final action on all applications for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The criteria under which each application will be scored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val="false"/>
          <w:color w:val="000000"/>
          <w:sz w:val="22"/>
        </w:rPr>
        <w:t>The overall quality of the proposed strategic infrastructure project, including the project’s estimated economic impact. The council will consider the structure of the proposed strategic infrastructure project and the partnerships proposed to be 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commonly utilized asset proposed by applicant benefits one or more private sector entities and the extent to which the commonly utilized asset creates necessary physical infrastructure in the state. More points will be awarded to proposed strategic infrastructure projects demonstrating greater benefits or benefits to more entities and to proposed strategic infrastructure projects demonstrating more critical necessary physical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proposed strategic infrastructure project provides benefits that are not adequately provided by the public or private sectors.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val="false"/>
          <w:color w:val="000000"/>
          <w:sz w:val="22"/>
        </w:rPr>
        <w:t>The importance of the vertical infrastructure improvement developments, facilities and equipment upgrades, or the redevelopment or repurposing of underutilized property or other assets that are proposed, the extent to which the proposed strategic infrastructure project will attract additional public or private sector investment, and the likelihood that the proposed strategic infrastructure project will result in broad-based prosperity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proposed strategic infrastructure project’s financing structure, the feasibility of the sources of funds, and the appropriateness of the proposed uses of the funds. The council will consider a proposed strategic infrastructure project’s overall financing gap and the total amount of funds leveraged from other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261—118.6</w:t>
      </w:r>
      <w:r>
        <w:rPr>
          <w:rFonts w:ascii="Times New Roman" w:hAnsi="Times New Roman"/>
          <w:b/>
          <w:i w:val="false"/>
          <w:color w:val="000000"/>
          <w:sz w:val="22"/>
        </w:rPr>
        <w:t xml:space="preserve">(15) </w:t>
      </w:r>
      <w:r>
        <w:rPr>
          <w:rFonts w:ascii="Times New Roman" w:hAnsi="Times New Roman"/>
          <w:b/>
          <w:i w:val="false"/>
          <w:color w:val="000000"/>
          <w:sz w:val="22"/>
        </w:rPr>
        <w:t xml:space="preserve">Award administration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financial assistance, including any conditions and terms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118.6(2)</w:t>
      </w:r>
      <w:r>
        <w:rPr>
          <w:rFonts w:ascii="Times New Roman" w:hAnsi="Times New Roman"/>
          <w:b w:val="false"/>
          <w:i w:val="false"/>
          <w:color w:val="000000"/>
          <w:sz w:val="22"/>
        </w:rPr>
        <w:t> </w:t>
      </w:r>
      <w:r>
        <w:rPr>
          <w:rFonts w:ascii="Times New Roman" w:hAnsi="Times New Roman"/>
          <w:b w:val="false"/>
          <w:i/>
          <w:color w:val="000000"/>
          <w:sz w:val="22"/>
        </w:rPr>
        <w:t xml:space="preserve">Contract administration and amendments. </w:t>
      </w:r>
      <w:r>
        <w:rPr>
          <w:rFonts w:ascii="Times New Roman" w:hAnsi="Times New Roman"/>
          <w:b w:val="false"/>
          <w:i w:val="false"/>
          <w:color w:val="000000"/>
          <w:sz w:val="22"/>
        </w:rPr>
        <w:t>The authority will prepare a contract for each award approved by the board. The contract will reflect the terms of the award and may include other terms and conditions reasonably necessary for implementation of the program pursuant to this chapter. Substantial amendments to a contract must be approved by the board. Substantial amendments include the amount of financial assistance, the length of the contract, and the terms of a settlement following an event of default. Other changes or amendments to the contract may be negotiated by the authority with the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The authority will disburse funds to a strategic infrastructure project only after a complete application has been received, an award has been recommended by the council and approved by the board, a contract has been executed between the applicant and the authority, and all applicable conditions for disbursement have been met, including the submission of documentation pertaining to the eligible expenditures. Disbursement of funds under the contract will be on a reimbursement basis for expenses incurred by the applicant as provided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1825C</w:t>
      </w:r>
      <w:r>
        <w:rPr>
          <w:rFonts w:ascii="Times New Roman" w:hAnsi="Times New Roman"/>
          <w:b w:val="false"/>
          <w:i w:val="false"/>
          <w:color w:val="000000"/>
          <w:sz w:val="21"/>
        </w:rPr>
        <w:t xml:space="preserve"> (Notice ARC 1691C, IAB 10/29/14)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8453C</w:t>
      </w:r>
      <w:r>
        <w:rPr>
          <w:rFonts w:ascii="Times New Roman" w:hAnsi="Times New Roman"/>
          <w:b w:val="false"/>
          <w:i w:val="false"/>
          <w:color w:val="000000"/>
          <w:sz w:val="21"/>
        </w:rPr>
        <w:t xml:space="preserve"> (Notice ARC 8222C,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co/chapter/15.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J.pdf" Type="http://schemas.openxmlformats.org/officeDocument/2006/relationships/hyperlink" Id="rId10"/>
    <Relationship TargetMode="External" Target="https://www.legis.iowa.gov/docs/ico/chapter/15.pdf" Type="http://schemas.openxmlformats.org/officeDocument/2006/relationships/hyperlink" Id="rId11"/>
    <Relationship TargetMode="External" Target="https://www.legis.iowa.gov/docs/iac/rule/261.118.7.pdf" Type="http://schemas.openxmlformats.org/officeDocument/2006/relationships/hyperlink" Id="rId12"/>
    <Relationship TargetMode="External" Target="https://www.legis.iowa.gov/docs/ico/chapter/15.pdf" Type="http://schemas.openxmlformats.org/officeDocument/2006/relationships/hyperlink" Id="rId13"/>
    <Relationship TargetMode="External" Target="https://www.legis.iowa.gov/docs/ico/chapter/1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