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 xml:space="preserve">INNOVATIVE AND OTHER BUSINESS DEVELOPMENT—DEMONSTRATION FUND </w:t>
      </w:r>
      <w:r>
        <w:br/>
      </w:r>
      <w:r>
        <w:rPr>
          <w:rFonts w:ascii="Times New Roman" w:hAnsi="Times New Roman"/>
          <w:b w:val="false"/>
          <w:i w:val="false"/>
          <w:color w:val="000000"/>
          <w:sz w:val="21"/>
        </w:rPr>
        <w:t>AND PROOF OF COMMERCIAL RELEVANCE</w:t>
      </w:r>
    </w:p>
    <w:p>
      <w:pPr>
        <w:spacing w:before="0" w:after="0"/>
        <w:ind w:left="120"/>
        <w:jc w:val="both"/>
      </w:pPr>
      <w:r>
        <w:rPr>
          <w:rFonts w:ascii="Times New Roman" w:hAnsi="Times New Roman"/>
          <w:b/>
          <w:i w:val="false"/>
          <w:color w:val="000000"/>
          <w:sz w:val="22"/>
        </w:rPr>
        <w:t>261—105.1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and delegation of functions. </w:t>
      </w:r>
      <w:r>
        <w:rPr>
          <w:rFonts w:ascii="Times New Roman" w:hAnsi="Times New Roman"/>
          <w:b w:val="false"/>
          <w:i w:val="false"/>
          <w:color w:val="000000"/>
          <w:sz w:val="22"/>
        </w:rPr>
        <w:t xml:space="preserve">The proof of commercial relevance program component is established pursuant to Iowa Code section </w:t>
      </w:r>
      <w:hyperlink r:id="rId4">
        <w:r>
          <w:rPr>
            <w:rStyle w:val="Hyperlink"/>
            <w:rFonts w:ascii="Times New Roman" w:hAnsi="Times New Roman"/>
            <w:b w:val="false"/>
            <w:i w:val="false"/>
            <w:color w:val="000000"/>
            <w:sz w:val="22"/>
          </w:rPr>
          <w:t>15.411(5)</w:t>
        </w:r>
      </w:hyperlink>
      <w:r>
        <w:rPr>
          <w:rFonts w:ascii="Times New Roman" w:hAnsi="Times New Roman"/>
          <w:b w:val="false"/>
          <w:i w:val="false"/>
          <w:color w:val="000000"/>
          <w:sz w:val="22"/>
        </w:rPr>
        <w:t xml:space="preserve"> for the purpose of accelerating the generation and development of innovative ideas and businesses. The demonstration fund program component is established pursuant to Iowa Code section </w:t>
      </w:r>
      <w:hyperlink r:id="rId5">
        <w:r>
          <w:rPr>
            <w:rStyle w:val="Hyperlink"/>
            <w:rFonts w:ascii="Times New Roman" w:hAnsi="Times New Roman"/>
            <w:b w:val="false"/>
            <w:i w:val="false"/>
            <w:color w:val="000000"/>
            <w:sz w:val="22"/>
          </w:rPr>
          <w:t>15.411(2)</w:t>
        </w:r>
      </w:hyperlink>
      <w:r>
        <w:rPr>
          <w:rFonts w:ascii="Times New Roman" w:hAnsi="Times New Roman"/>
          <w:b w:val="false"/>
          <w:i w:val="false"/>
          <w:color w:val="000000"/>
          <w:sz w:val="22"/>
        </w:rPr>
        <w:t xml:space="preserve"> to encourage prototype development and concept development activities. The authority may delegate certain administrative functions to a service provider engaged pursuant to Iowa Code section </w:t>
      </w:r>
      <w:hyperlink r:id="rId6">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technology commercialization committee established pursuant to Iowa Code section </w:t>
      </w:r>
      <w:hyperlink r:id="rId9">
        <w:r>
          <w:rPr>
            <w:rStyle w:val="Hyperlink"/>
            <w:rFonts w:ascii="Times New Roman" w:hAnsi="Times New Roman"/>
            <w:b w:val="false"/>
            <w:i w:val="false"/>
            <w:color w:val="000000"/>
            <w:sz w:val="22"/>
          </w:rPr>
          <w:t>15.116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 </w:t>
      </w:r>
      <w:r>
        <w:rPr>
          <w:rFonts w:ascii="Times New Roman" w:hAnsi="Times New Roman"/>
          <w:b w:val="false"/>
          <w:i w:val="false"/>
          <w:color w:val="000000"/>
          <w:sz w:val="22"/>
        </w:rPr>
        <w:t>means the demonstration fund program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“IP” </w:t>
      </w:r>
      <w:r>
        <w:rPr>
          <w:rFonts w:ascii="Times New Roman" w:hAnsi="Times New Roman"/>
          <w:b w:val="false"/>
          <w:i w:val="false"/>
          <w:color w:val="000000"/>
          <w:sz w:val="22"/>
        </w:rPr>
        <w:t>means intellectual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“NAICS” </w:t>
      </w:r>
      <w:r>
        <w:rPr>
          <w:rFonts w:ascii="Times New Roman" w:hAnsi="Times New Roman"/>
          <w:b w:val="false"/>
          <w:i w:val="false"/>
          <w:color w:val="000000"/>
          <w:sz w:val="22"/>
        </w:rPr>
        <w:t>means the North American Industry Classification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“POCR” </w:t>
      </w:r>
      <w:r>
        <w:rPr>
          <w:rFonts w:ascii="Times New Roman" w:hAnsi="Times New Roman"/>
          <w:b w:val="false"/>
          <w:i w:val="false"/>
          <w:color w:val="000000"/>
          <w:sz w:val="22"/>
        </w:rPr>
        <w:t>means the proof of commercial relevance program component.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261—105.3</w:t>
      </w:r>
      <w:r>
        <w:rPr>
          <w:rFonts w:ascii="Times New Roman" w:hAnsi="Times New Roman"/>
          <w:b/>
          <w:i w:val="false"/>
          <w:color w:val="000000"/>
          <w:sz w:val="22"/>
        </w:rPr>
        <w:t xml:space="preserve">(15) </w:t>
      </w:r>
      <w:r>
        <w:rPr>
          <w:rFonts w:ascii="Times New Roman" w:hAnsi="Times New Roman"/>
          <w:b/>
          <w:i w:val="false"/>
          <w:color w:val="000000"/>
          <w:sz w:val="22"/>
        </w:rPr>
        <w:t xml:space="preserve">Project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w:t>
      </w:r>
      <w:r>
        <w:rPr>
          <w:rFonts w:ascii="Times New Roman" w:hAnsi="Times New Roman"/>
          <w:b w:val="false"/>
          <w:i w:val="false"/>
          <w:color w:val="000000"/>
          <w:sz w:val="22"/>
        </w:rPr>
        <w:t> </w:t>
      </w:r>
      <w:r>
        <w:rPr>
          <w:rFonts w:ascii="Times New Roman" w:hAnsi="Times New Roman"/>
          <w:b w:val="false"/>
          <w:i w:val="false"/>
          <w:color w:val="000000"/>
          <w:sz w:val="22"/>
        </w:rPr>
        <w:t>Awards are made on a per-project basis upon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w:t>
      </w:r>
      <w:r>
        <w:rPr>
          <w:rFonts w:ascii="Times New Roman" w:hAnsi="Times New Roman"/>
          <w:b w:val="false"/>
          <w:i w:val="false"/>
          <w:color w:val="000000"/>
          <w:sz w:val="22"/>
        </w:rPr>
        <w:t> </w:t>
      </w:r>
      <w:r>
        <w:rPr>
          <w:rFonts w:ascii="Times New Roman" w:hAnsi="Times New Roman"/>
          <w:b w:val="false"/>
          <w:i w:val="false"/>
          <w:color w:val="000000"/>
          <w:sz w:val="22"/>
        </w:rPr>
        <w:t>The committee and board may establish maximum award amounts for each program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w:t>
      </w:r>
      <w:r>
        <w:rPr>
          <w:rFonts w:ascii="Times New Roman" w:hAnsi="Times New Roman"/>
          <w:b w:val="false"/>
          <w:i w:val="false"/>
          <w:color w:val="000000"/>
          <w:sz w:val="22"/>
        </w:rPr>
        <w:t> </w:t>
      </w:r>
      <w:r>
        <w:rPr>
          <w:rFonts w:ascii="Times New Roman" w:hAnsi="Times New Roman"/>
          <w:b w:val="false"/>
          <w:i w:val="false"/>
          <w:color w:val="000000"/>
          <w:sz w:val="22"/>
        </w:rPr>
        <w:t xml:space="preserve">POCR funds may be used for third-party technology evaluation, regulatory analysis, identifying partners or manufacturers, IP development and evaluation, validation of market potential, beta testing, or team assembly. Demo funds may be used for marketing, sales, distribution, product refinement or market research.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105.3(4)</w:t>
      </w:r>
      <w:r>
        <w:rPr>
          <w:rFonts w:ascii="Times New Roman" w:hAnsi="Times New Roman"/>
          <w:b w:val="false"/>
          <w:i w:val="false"/>
          <w:color w:val="000000"/>
          <w:sz w:val="22"/>
        </w:rPr>
        <w:t> </w:t>
      </w:r>
      <w:r>
        <w:rPr>
          <w:rFonts w:ascii="Times New Roman" w:hAnsi="Times New Roman"/>
          <w:b w:val="false"/>
          <w:i w:val="false"/>
          <w:color w:val="000000"/>
          <w:sz w:val="22"/>
        </w:rPr>
        <w:t>Funds may not be used for university overhead expenses or any work that was conducted by the applicant or any third-party consultant prior to the term of the financial assistance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105.3(5)</w:t>
      </w:r>
      <w:r>
        <w:rPr>
          <w:rFonts w:ascii="Times New Roman" w:hAnsi="Times New Roman"/>
          <w:b w:val="false"/>
          <w:i w:val="false"/>
          <w:color w:val="000000"/>
          <w:sz w:val="22"/>
        </w:rPr>
        <w:t> </w:t>
      </w:r>
      <w:r>
        <w:rPr>
          <w:rFonts w:ascii="Times New Roman" w:hAnsi="Times New Roman"/>
          <w:b w:val="false"/>
          <w:i w:val="false"/>
          <w:color w:val="000000"/>
          <w:sz w:val="22"/>
        </w:rPr>
        <w:t>The forms of financial assistance may consist of but are not limited to loans, forgivable loans, grants and such other forms of assistance the committee and the board deem appropriate and consistent with the needs of a given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261—105.4</w:t>
      </w:r>
      <w:r>
        <w:rPr>
          <w:rFonts w:ascii="Times New Roman" w:hAnsi="Times New Roman"/>
          <w:b/>
          <w:i w:val="false"/>
          <w:color w:val="000000"/>
          <w:sz w:val="22"/>
        </w:rPr>
        <w:t xml:space="preserve">(15) </w:t>
      </w:r>
      <w:r>
        <w:rPr>
          <w:rFonts w:ascii="Times New Roman" w:hAnsi="Times New Roman"/>
          <w:b/>
          <w:i w:val="false"/>
          <w:color w:val="000000"/>
          <w:sz w:val="22"/>
        </w:rPr>
        <w:t xml:space="preserve">Matching funds requirement. </w:t>
      </w:r>
      <w:r>
        <w:rPr>
          <w:rFonts w:ascii="Times New Roman" w:hAnsi="Times New Roman"/>
          <w:b w:val="false"/>
          <w:i w:val="false"/>
          <w:color w:val="000000"/>
          <w:sz w:val="22"/>
        </w:rPr>
        <w:t>In order to receive financial assistance, an applicant must demonstrate the ability to secure one dollar of nonstate moneys for every two dollars received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261—105.5</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must be located in Iowa, demonstrate the potential for high growth, and be included in one of the following industries classified by the NAICS: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Biosciences.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Information technologies.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Advanced manufacturing.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261—105.6</w:t>
      </w:r>
      <w:r>
        <w:rPr>
          <w:rFonts w:ascii="Times New Roman" w:hAnsi="Times New Roman"/>
          <w:b/>
          <w:i w:val="false"/>
          <w:color w:val="000000"/>
          <w:sz w:val="22"/>
        </w:rPr>
        <w:t xml:space="preserve">(15) </w:t>
      </w:r>
      <w:r>
        <w:rPr>
          <w:rFonts w:ascii="Times New Roman" w:hAnsi="Times New Roman"/>
          <w:b/>
          <w:i w:val="false"/>
          <w:color w:val="000000"/>
          <w:sz w:val="22"/>
        </w:rPr>
        <w:t xml:space="preserve">Ineligible applicants. </w:t>
      </w:r>
      <w:r>
        <w:rPr>
          <w:rFonts w:ascii="Times New Roman" w:hAnsi="Times New Roman"/>
          <w:b w:val="false"/>
          <w:i w:val="false"/>
          <w:color w:val="000000"/>
          <w:sz w:val="22"/>
        </w:rPr>
        <w:t>The following businesses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val="false"/>
          <w:color w:val="000000"/>
          <w:sz w:val="22"/>
        </w:rPr>
        <w:t>A business that is engaged in retail sales or provides health services is ineligible. In determining whether a business is engaged in retail sales, factors the authority will consider include but are not limited to the sources of the business’s revenue, whether the business manufactures a product it sells, and whether the business owns intellectual property associated with a product the business sells.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val="false"/>
          <w:color w:val="000000"/>
          <w:sz w:val="22"/>
        </w:rPr>
        <w:t>A business that closes or substantially reduces its workforce by more than 20 percent at existing operations in order to relocate substantially the same operation to another area of the state is ineligible for 36 consecutive months at any of the business’s Iowa sites from the date the new establishment opens.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261—105.7</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seeking financial or technical assistance must submit an application to the authority in the form and with the content specified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review applications to confirm program eligibility pursuant to Iowa Code section </w:t>
      </w:r>
      <w:hyperlink r:id="rId10">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 xml:space="preserve"> and this chapter. Eligible applications will be sent to the committee to develop a recommendation on funding. The committee will make funding recommendations to the board. The board has final decision-making authority on requests for financial assistance. The board may approve, defer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105.7(3)</w:t>
      </w:r>
      <w:r>
        <w:rPr>
          <w:rFonts w:ascii="Times New Roman" w:hAnsi="Times New Roman"/>
          <w:b w:val="false"/>
          <w:i w:val="false"/>
          <w:color w:val="000000"/>
          <w:sz w:val="22"/>
        </w:rPr>
        <w:t> </w:t>
      </w:r>
      <w:r>
        <w:rPr>
          <w:rFonts w:ascii="Times New Roman" w:hAnsi="Times New Roman"/>
          <w:b w:val="false"/>
          <w:i w:val="false"/>
          <w:color w:val="000000"/>
          <w:sz w:val="22"/>
        </w:rPr>
        <w:t>An application for assistance will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product or service. </w:t>
      </w:r>
      <w:r>
        <w:rPr>
          <w:rFonts w:ascii="Times New Roman" w:hAnsi="Times New Roman"/>
          <w:b w:val="false"/>
          <w:i w:val="false"/>
          <w:color w:val="000000"/>
          <w:sz w:val="22"/>
        </w:rPr>
        <w:t>A description of the proposed product or service, the experience of those involved in the proposed project, and the company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Market research. </w:t>
      </w:r>
      <w:r>
        <w:rPr>
          <w:rFonts w:ascii="Times New Roman" w:hAnsi="Times New Roman"/>
          <w:b w:val="false"/>
          <w:i w:val="false"/>
          <w:color w:val="000000"/>
          <w:sz w:val="22"/>
        </w:rPr>
        <w:t>A market research analysis that addresses competing or alternative technologies, advantages of the proposed product or service compared to competing or alternative technologies, distribution plans, and estimated return on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Commercialization. </w:t>
      </w:r>
      <w:r>
        <w:rPr>
          <w:rFonts w:ascii="Times New Roman" w:hAnsi="Times New Roman"/>
          <w:b w:val="false"/>
          <w:i w:val="false"/>
          <w:color w:val="000000"/>
          <w:sz w:val="22"/>
        </w:rPr>
        <w:t xml:space="preserve">A description of the key next steps to making an impact with the innovation and a description of funding requirements, based on standard financial documents, necessary to overcome obstacles to success.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 plan. </w:t>
      </w:r>
      <w:r>
        <w:rPr>
          <w:rFonts w:ascii="Times New Roman" w:hAnsi="Times New Roman"/>
          <w:b w:val="false"/>
          <w:i w:val="false"/>
          <w:color w:val="000000"/>
          <w:sz w:val="22"/>
        </w:rPr>
        <w:t>A description of the strategy and key elements to be funded to address goals of the work plan, including project milestones.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Resources and budget. </w:t>
      </w:r>
      <w:r>
        <w:rPr>
          <w:rFonts w:ascii="Times New Roman" w:hAnsi="Times New Roman"/>
          <w:b w:val="false"/>
          <w:i w:val="false"/>
          <w:color w:val="000000"/>
          <w:sz w:val="22"/>
        </w:rPr>
        <w:t>A budget that includes a detailed description of the sources, including the required match, and uses of the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261—105.8</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selection criteria. </w:t>
      </w:r>
      <w:r>
        <w:rPr>
          <w:rFonts w:ascii="Times New Roman" w:hAnsi="Times New Roman"/>
          <w:b w:val="false"/>
          <w:i w:val="false"/>
          <w:color w:val="000000"/>
          <w:sz w:val="22"/>
        </w:rPr>
        <w:t>In reviewing applications for financial assistance, the committee and board shall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color w:val="000000"/>
          <w:sz w:val="22"/>
        </w:rPr>
        <w:t xml:space="preserve">Intellectual property. </w:t>
      </w:r>
      <w:r>
        <w:rPr>
          <w:rFonts w:ascii="Times New Roman" w:hAnsi="Times New Roman"/>
          <w:b w:val="false"/>
          <w:i w:val="false"/>
          <w:color w:val="000000"/>
          <w:sz w:val="22"/>
        </w:rPr>
        <w:t>How the ownership of the IP is structured. Preference will be given to applicants with greater IP control by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The business’s experience in productization and commercialization, and ongoing product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105.8(3)</w:t>
      </w:r>
      <w:r>
        <w:rPr>
          <w:rFonts w:ascii="Times New Roman" w:hAnsi="Times New Roman"/>
          <w:b w:val="false"/>
          <w:i w:val="false"/>
          <w:color w:val="000000"/>
          <w:sz w:val="22"/>
        </w:rPr>
        <w:t> </w:t>
      </w:r>
      <w:r>
        <w:rPr>
          <w:rFonts w:ascii="Times New Roman" w:hAnsi="Times New Roman"/>
          <w:b w:val="false"/>
          <w:i/>
          <w:color w:val="000000"/>
          <w:sz w:val="22"/>
        </w:rPr>
        <w:t xml:space="preserve">Estimate to completion. </w:t>
      </w:r>
      <w:r>
        <w:rPr>
          <w:rFonts w:ascii="Times New Roman" w:hAnsi="Times New Roman"/>
          <w:b w:val="false"/>
          <w:i w:val="false"/>
          <w:color w:val="000000"/>
          <w:sz w:val="22"/>
        </w:rPr>
        <w:t xml:space="preserve">The business’s work requirements and estimated timeline for completion, the credibility of the estimated timeline for completion relative to the business’s experience, and the business’s resources available to fulfill requirements and conform to a timeline.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105.8(4)</w:t>
      </w:r>
      <w:r>
        <w:rPr>
          <w:rFonts w:ascii="Times New Roman" w:hAnsi="Times New Roman"/>
          <w:b w:val="false"/>
          <w:i w:val="false"/>
          <w:color w:val="000000"/>
          <w:sz w:val="22"/>
        </w:rPr>
        <w:t> </w:t>
      </w:r>
      <w:r>
        <w:rPr>
          <w:rFonts w:ascii="Times New Roman" w:hAnsi="Times New Roman"/>
          <w:b w:val="false"/>
          <w:i/>
          <w:color w:val="000000"/>
          <w:sz w:val="22"/>
        </w:rPr>
        <w:t xml:space="preserve">Market. </w:t>
      </w:r>
      <w:r>
        <w:rPr>
          <w:rFonts w:ascii="Times New Roman" w:hAnsi="Times New Roman"/>
          <w:b w:val="false"/>
          <w:i w:val="false"/>
          <w:color w:val="000000"/>
          <w:sz w:val="22"/>
        </w:rPr>
        <w:t xml:space="preserve">The business’s competitors, market for the business’s product in Iowa and outside of Iowa, plausibility of the business’s marketing plan, and the business’s experience in the industry.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105.8(5)</w:t>
      </w:r>
      <w:r>
        <w:rPr>
          <w:rFonts w:ascii="Times New Roman" w:hAnsi="Times New Roman"/>
          <w:b w:val="false"/>
          <w:i w:val="false"/>
          <w:color w:val="000000"/>
          <w:sz w:val="22"/>
        </w:rPr>
        <w:t> </w:t>
      </w:r>
      <w:r>
        <w:rPr>
          <w:rFonts w:ascii="Times New Roman" w:hAnsi="Times New Roman"/>
          <w:b w:val="false"/>
          <w:i/>
          <w:color w:val="000000"/>
          <w:sz w:val="22"/>
        </w:rPr>
        <w:t xml:space="preserve">Financial requirement. </w:t>
      </w:r>
      <w:r>
        <w:rPr>
          <w:rFonts w:ascii="Times New Roman" w:hAnsi="Times New Roman"/>
          <w:b w:val="false"/>
          <w:i w:val="false"/>
          <w:color w:val="000000"/>
          <w:sz w:val="22"/>
        </w:rPr>
        <w:t xml:space="preserve">The availability of matching funds and other necessary funds to take the product to market.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105.8(6)</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 xml:space="preserve">The availability of channels to take the product to market.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105.8(7)</w:t>
      </w:r>
      <w:r>
        <w:rPr>
          <w:rFonts w:ascii="Times New Roman" w:hAnsi="Times New Roman"/>
          <w:b w:val="false"/>
          <w:i w:val="false"/>
          <w:color w:val="000000"/>
          <w:sz w:val="22"/>
        </w:rPr>
        <w:t> </w:t>
      </w:r>
      <w:r>
        <w:rPr>
          <w:rFonts w:ascii="Times New Roman" w:hAnsi="Times New Roman"/>
          <w:b w:val="false"/>
          <w:i/>
          <w:color w:val="000000"/>
          <w:sz w:val="22"/>
        </w:rPr>
        <w:t xml:space="preserve">Expected return. </w:t>
      </w:r>
      <w:r>
        <w:rPr>
          <w:rFonts w:ascii="Times New Roman" w:hAnsi="Times New Roman"/>
          <w:b w:val="false"/>
          <w:i w:val="false"/>
          <w:color w:val="000000"/>
          <w:sz w:val="22"/>
        </w:rPr>
        <w:t>Whether the expected return can be quantified, based on time to break even and long-term economic impact.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261—105.9</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105.9(1)</w:t>
      </w:r>
      <w:r>
        <w:rPr>
          <w:rFonts w:ascii="Times New Roman" w:hAnsi="Times New Roman"/>
          <w:b w:val="false"/>
          <w:i w:val="false"/>
          <w:color w:val="000000"/>
          <w:sz w:val="22"/>
        </w:rPr>
        <w:t> </w:t>
      </w:r>
      <w:r>
        <w:rPr>
          <w:rFonts w:ascii="Times New Roman" w:hAnsi="Times New Roman"/>
          <w:b w:val="false"/>
          <w:i w:val="false"/>
          <w:color w:val="000000"/>
          <w:sz w:val="22"/>
        </w:rPr>
        <w:t>Successful applicants will be notified in writing of an award of assistance,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105.9(2)</w:t>
      </w:r>
      <w:r>
        <w:rPr>
          <w:rFonts w:ascii="Times New Roman" w:hAnsi="Times New Roman"/>
          <w:b w:val="false"/>
          <w:i w:val="false"/>
          <w:color w:val="000000"/>
          <w:sz w:val="22"/>
        </w:rPr>
        <w:t> </w:t>
      </w:r>
      <w:r>
        <w:rPr>
          <w:rFonts w:ascii="Times New Roman" w:hAnsi="Times New Roman"/>
          <w:b w:val="false"/>
          <w:i w:val="false"/>
          <w:color w:val="000000"/>
          <w:sz w:val="22"/>
        </w:rPr>
        <w:t>The authority will prepare a contract that includes but is not limited to a description of the project to be completed by the business, conditions to disbursement, required reports, and applicable repayment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105.9(3)</w:t>
      </w:r>
      <w:r>
        <w:rPr>
          <w:rFonts w:ascii="Times New Roman" w:hAnsi="Times New Roman"/>
          <w:b w:val="false"/>
          <w:i w:val="false"/>
          <w:color w:val="000000"/>
          <w:sz w:val="22"/>
        </w:rPr>
        <w:t> </w:t>
      </w:r>
      <w:r>
        <w:rPr>
          <w:rFonts w:ascii="Times New Roman" w:hAnsi="Times New Roman"/>
          <w:b w:val="false"/>
          <w:i w:val="false"/>
          <w:color w:val="000000"/>
          <w:sz w:val="22"/>
        </w:rPr>
        <w:t>The committee and the board must approve any substantive amendments to the contract. Authority staff may approve nonsubstantive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105.9(4)</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any information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8/16/07—published 9/12/07, effective 8/16/07]</w:t>
      </w:r>
    </w:p>
    <w:p>
      <w:pPr>
        <w:spacing w:before="0" w:after="0"/>
        <w:ind w:left="120"/>
        <w:jc w:val="center"/>
      </w:pPr>
      <w:r>
        <w:rPr>
          <w:rFonts w:ascii="Times New Roman" w:hAnsi="Times New Roman"/>
          <w:b w:val="false"/>
          <w:i w:val="false"/>
          <w:color w:val="000000"/>
          <w:sz w:val="21"/>
        </w:rPr>
        <w:t>[Filed 10/18/07, Notice 9/12/07—published 11/7/07, effective 12/12/07]</w:t>
      </w:r>
    </w:p>
    <w:p>
      <w:pPr>
        <w:spacing w:before="0" w:after="0"/>
        <w:ind w:left="120"/>
        <w:jc w:val="center"/>
      </w:pPr>
      <w:r>
        <w:rPr>
          <w:rFonts w:ascii="Times New Roman" w:hAnsi="Times New Roman"/>
          <w:b w:val="false"/>
          <w:i w:val="false"/>
          <w:color w:val="000000"/>
          <w:sz w:val="21"/>
        </w:rPr>
        <w:t>[Filed 2/22/08, Notice 12/19/07—published 3/12/08, effective 4/16/08]</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8452C</w:t>
      </w:r>
      <w:r>
        <w:rPr>
          <w:rFonts w:ascii="Times New Roman" w:hAnsi="Times New Roman"/>
          <w:b w:val="false"/>
          <w:i w:val="false"/>
          <w:color w:val="000000"/>
          <w:sz w:val="21"/>
        </w:rPr>
        <w:t xml:space="preserve"> (Notice ARC 8221C,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co/chapter/15.pdf" Type="http://schemas.openxmlformats.org/officeDocument/2006/relationships/hyperlink" Id="rId7"/>
    <Relationship TargetMode="External" Target="https://www.legis.iowa.gov/docs/ico/chapter/15.pdf" Type="http://schemas.openxmlformats.org/officeDocument/2006/relationships/hyperlink" Id="rId8"/>
    <Relationship TargetMode="External" Target="https://www.legis.iowa.gov/docs/ico/chapter/15.pdf" Type="http://schemas.openxmlformats.org/officeDocument/2006/relationships/hyperlink" Id="rId9"/>
    <Relationship TargetMode="External" Target="https://www.legis.iowa.gov/docs/ico/chapter/15.pdf" Type="http://schemas.openxmlformats.org/officeDocument/2006/relationships/hyperlink" Id="rId10"/>
    <Relationship TargetMode="External" Target="https://www.legis.iowa.gov/docs/ico/chapter/1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