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RENEWABLE FUEL INFRASTRUCTURE PROGRAM</w:t>
      </w:r>
    </w:p>
    <w:p>
      <w:pPr>
        <w:spacing w:before="0" w:after="0"/>
        <w:ind w:left="120"/>
        <w:jc w:val="center"/>
      </w:pPr>
      <w:r>
        <w:rPr>
          <w:rFonts w:ascii="Times New Roman" w:hAnsi="Times New Roman"/>
          <w:b w:val="false"/>
          <w:i w:val="false"/>
          <w:color w:val="000000"/>
          <w:sz w:val="14"/>
        </w:rPr>
        <w:t xml:space="preserve">[Prior to 6/29/11, see </w:t>
      </w:r>
      <w:hyperlink r:id="rId4">
        <w:r>
          <w:rPr>
            <w:rStyle w:val="Hyperlink"/>
            <w:rFonts w:ascii="Times New Roman" w:hAnsi="Times New Roman"/>
            <w:b w:val="false"/>
            <w:i w:val="false"/>
            <w:color w:val="000000"/>
            <w:sz w:val="14"/>
          </w:rPr>
          <w:t>261—Chapter 311</w:t>
        </w:r>
      </w:hyperlink>
      <w:r>
        <w:rPr>
          <w:rFonts w:ascii="Times New Roman" w:hAnsi="Times New Roman"/>
          <w:b w:val="false"/>
          <w:i w:val="false"/>
          <w:color w:val="000000"/>
          <w:sz w:val="14"/>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DEFINITIONS</w:t>
      </w:r>
    </w:p>
    <w:p>
      <w:pPr>
        <w:spacing w:before="0" w:after="0"/>
        <w:ind w:left="120"/>
        <w:jc w:val="both"/>
      </w:pPr>
      <w:r>
        <w:rPr>
          <w:rFonts w:ascii="Times New Roman" w:hAnsi="Times New Roman"/>
          <w:b/>
          <w:i w:val="false"/>
          <w:color w:val="000000"/>
          <w:sz w:val="22"/>
        </w:rPr>
        <w:t>21—13.1</w:t>
      </w:r>
      <w:r>
        <w:rPr>
          <w:rFonts w:ascii="Times New Roman" w:hAnsi="Times New Roman"/>
          <w:b/>
          <w:i w:val="false"/>
          <w:color w:val="000000"/>
          <w:sz w:val="22"/>
        </w:rPr>
        <w:t xml:space="preserve">(159A)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these rules, unless the context otherwise requires, the definitions in Iowa Code section </w:t>
      </w:r>
      <w:hyperlink r:id="rId5">
        <w:r>
          <w:rPr>
            <w:rStyle w:val="Hyperlink"/>
            <w:rFonts w:ascii="Times New Roman" w:hAnsi="Times New Roman"/>
            <w:b w:val="false"/>
            <w:i w:val="false"/>
            <w:color w:val="000000"/>
            <w:sz w:val="22"/>
          </w:rPr>
          <w:t>159A.11</w:t>
        </w:r>
      </w:hyperlink>
      <w:r>
        <w:rPr>
          <w:rFonts w:ascii="Times New Roman" w:hAnsi="Times New Roman"/>
          <w:b w:val="false"/>
          <w:i w:val="false"/>
          <w:color w:val="000000"/>
          <w:sz w:val="22"/>
        </w:rPr>
        <w:t xml:space="preserve"> apply to this chapter.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the cost-share agreement executed by the department after approval of the grant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as defined in this rule, who owns or operates a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w:t>
      </w:r>
      <w:r>
        <w:rPr>
          <w:rFonts w:ascii="Times New Roman" w:hAnsi="Times New Roman"/>
          <w:b w:val="false"/>
          <w:i w:val="false"/>
          <w:color w:val="000000"/>
          <w:sz w:val="22"/>
        </w:rPr>
        <w:t>for the purpose of this rule, must be at least B99.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blended fuel,”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For the purpose of these rules, biodiesel blended fuel must contain at least 2 percent biodiesel at a terminal site and at least 5 percent at a retail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w:t>
      </w:r>
      <w:r>
        <w:rPr>
          <w:rFonts w:ascii="Times New Roman" w:hAnsi="Times New Roman"/>
          <w:b w:val="false"/>
          <w:i w:val="false"/>
          <w:color w:val="000000"/>
          <w:sz w:val="22"/>
        </w:rPr>
        <w:t xml:space="preserve">means ethanol or biodiesel as defined in Iowa Code section </w:t>
      </w:r>
      <w:hyperlink r:id="rId7">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“Blender pump”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renewable fuel infrastructure board established by Iowa Code section </w:t>
      </w:r>
      <w:hyperlink r:id="rId9">
        <w:r>
          <w:rPr>
            <w:rStyle w:val="Hyperlink"/>
            <w:rFonts w:ascii="Times New Roman" w:hAnsi="Times New Roman"/>
            <w:b w:val="false"/>
            <w:i w:val="false"/>
            <w:color w:val="000000"/>
            <w:sz w:val="22"/>
          </w:rPr>
          <w:t>159A.13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“Checklist”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“IDNR checklist” </w:t>
      </w:r>
      <w:r>
        <w:rPr>
          <w:rFonts w:ascii="Times New Roman" w:hAnsi="Times New Roman"/>
          <w:b w:val="false"/>
          <w:i w:val="false"/>
          <w:color w:val="000000"/>
          <w:sz w:val="22"/>
        </w:rPr>
        <w:t>means the most recent version of the Underground Storage Tank System Checklist for Equipment Compatibility with E-Blend Fuels (greater than 10 percent by volume) issued by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“cost-share grant” </w:t>
      </w:r>
      <w:r>
        <w:rPr>
          <w:rFonts w:ascii="Times New Roman" w:hAnsi="Times New Roman"/>
          <w:b w:val="false"/>
          <w:i w:val="false"/>
          <w:color w:val="000000"/>
          <w:sz w:val="22"/>
        </w:rPr>
        <w:t xml:space="preserve">means moneys awarded by the board on a cost-share basis from the renewable fuel infrastructure fund created by Iowa Code chapter </w:t>
      </w:r>
      <w:hyperlink r:id="rId10">
        <w:r>
          <w:rPr>
            <w:rStyle w:val="Hyperlink"/>
            <w:rFonts w:ascii="Times New Roman" w:hAnsi="Times New Roman"/>
            <w:b w:val="false"/>
            <w:i w:val="false"/>
            <w:color w:val="000000"/>
            <w:sz w:val="22"/>
          </w:rPr>
          <w:t>159A</w:t>
        </w:r>
      </w:hyperlink>
      <w:r>
        <w:rPr>
          <w:rFonts w:ascii="Times New Roman" w:hAnsi="Times New Roman"/>
          <w:b w:val="false"/>
          <w:i w:val="false"/>
          <w:color w:val="000000"/>
          <w:sz w:val="22"/>
        </w:rPr>
        <w:t xml:space="preserve"> to help pay for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an individual, corporation, limited liability company, government or governmental subdivision or agency, business trust, estate, trust, partnership or association, or any other legal entity as defined in Iowa Code section </w:t>
      </w:r>
      <w:hyperlink r:id="rId11">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the installation of equipment for motor fuel storage, dispensing and distribution of E-15 or higher gasoline, biodiesel or biodiesel blended fuel classified as B-5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“Rack” </w:t>
      </w:r>
      <w:r>
        <w:rPr>
          <w:rFonts w:ascii="Times New Roman" w:hAnsi="Times New Roman"/>
          <w:b w:val="false"/>
          <w:i w:val="false"/>
          <w:color w:val="000000"/>
          <w:sz w:val="22"/>
        </w:rPr>
        <w:t>means a metered motor fuel, special fuel or renewable fuel loading facility with the capacity to pump fuel at a rate of at least 100 gallons per minute (100 gpm); whether from an overhead, lateral, or underneath position, into a transportation vessel for further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“Renewable fuel”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w:t>
      </w:r>
      <w:r>
        <w:rPr>
          <w:rFonts w:ascii="Times New Roman" w:hAnsi="Times New Roman"/>
          <w:b w:val="false"/>
          <w:i w:val="false"/>
          <w:color w:val="000000"/>
          <w:sz w:val="22"/>
        </w:rPr>
        <w:t>means offered for sale to the public for final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motor fuel site” </w:t>
      </w:r>
      <w:r>
        <w:rPr>
          <w:rFonts w:ascii="Times New Roman" w:hAnsi="Times New Roman"/>
          <w:b w:val="false"/>
          <w:i w:val="false"/>
          <w:color w:val="000000"/>
          <w:sz w:val="22"/>
        </w:rPr>
        <w:t>means a geographic location in this state where a retail dealer sells and dispenses motor fuel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status” </w:t>
      </w:r>
      <w:r>
        <w:rPr>
          <w:rFonts w:ascii="Times New Roman" w:hAnsi="Times New Roman"/>
          <w:b w:val="false"/>
          <w:i w:val="false"/>
          <w:color w:val="000000"/>
          <w:sz w:val="22"/>
        </w:rPr>
        <w:t xml:space="preserve">means a retail motor fuel site that does not comply with the E-15 access standard under Iowa Code section </w:t>
      </w:r>
      <w:hyperlink r:id="rId13">
        <w:r>
          <w:rPr>
            <w:rStyle w:val="Hyperlink"/>
            <w:rFonts w:ascii="Times New Roman" w:hAnsi="Times New Roman"/>
            <w:b w:val="false"/>
            <w:i w:val="false"/>
            <w:color w:val="000000"/>
            <w:sz w:val="22"/>
          </w:rPr>
          <w:t>214A.32</w:t>
        </w:r>
      </w:hyperlink>
      <w:r>
        <w:rPr>
          <w:rFonts w:ascii="Times New Roman" w:hAnsi="Times New Roman"/>
          <w:b w:val="false"/>
          <w:i w:val="false"/>
          <w:color w:val="000000"/>
          <w:sz w:val="22"/>
        </w:rPr>
        <w:t xml:space="preserve"> and is ineligible to be issued an E-15 incompatible infrastructure Class 2 waiver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I site” </w:t>
      </w:r>
      <w:r>
        <w:rPr>
          <w:rFonts w:ascii="Times New Roman" w:hAnsi="Times New Roman"/>
          <w:b w:val="false"/>
          <w:i w:val="false"/>
          <w:color w:val="000000"/>
          <w:sz w:val="22"/>
        </w:rPr>
        <w:t xml:space="preserve">means a retail motor fuel site as described in Iowa Code section </w:t>
      </w:r>
      <w:hyperlink r:id="rId14">
        <w:r>
          <w:rPr>
            <w:rStyle w:val="Hyperlink"/>
            <w:rFonts w:ascii="Times New Roman" w:hAnsi="Times New Roman"/>
            <w:b w:val="false"/>
            <w:i w:val="false"/>
            <w:color w:val="000000"/>
            <w:sz w:val="22"/>
          </w:rPr>
          <w:t>159A.14(6)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II site” </w:t>
      </w:r>
      <w:r>
        <w:rPr>
          <w:rFonts w:ascii="Times New Roman" w:hAnsi="Times New Roman"/>
          <w:b w:val="false"/>
          <w:i w:val="false"/>
          <w:color w:val="000000"/>
          <w:sz w:val="22"/>
        </w:rPr>
        <w:t xml:space="preserve">means a retail motor fuel site as described in Iowa Code section </w:t>
      </w:r>
      <w:hyperlink r:id="rId15">
        <w:r>
          <w:rPr>
            <w:rStyle w:val="Hyperlink"/>
            <w:rFonts w:ascii="Times New Roman" w:hAnsi="Times New Roman"/>
            <w:b w:val="false"/>
            <w:i w:val="false"/>
            <w:color w:val="000000"/>
            <w:sz w:val="22"/>
          </w:rPr>
          <w:t>159A.14(6)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III site” </w:t>
      </w:r>
      <w:r>
        <w:rPr>
          <w:rFonts w:ascii="Times New Roman" w:hAnsi="Times New Roman"/>
          <w:b w:val="false"/>
          <w:i w:val="false"/>
          <w:color w:val="000000"/>
          <w:sz w:val="22"/>
        </w:rPr>
        <w:t xml:space="preserve">means a retail motor fuel site as described in Iowa Code section </w:t>
      </w:r>
      <w:hyperlink r:id="rId16">
        <w:r>
          <w:rPr>
            <w:rStyle w:val="Hyperlink"/>
            <w:rFonts w:ascii="Times New Roman" w:hAnsi="Times New Roman"/>
            <w:b w:val="false"/>
            <w:i w:val="false"/>
            <w:color w:val="000000"/>
            <w:sz w:val="22"/>
          </w:rPr>
          <w:t>159A.14(6)</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
        <w:r>
          <w:rPr>
            <w:rStyle w:val="Hyperlink"/>
            <w:rFonts w:ascii="Times New Roman" w:hAnsi="Times New Roman"/>
            <w:b w:val="false"/>
            <w:i w:val="false"/>
            <w:color w:val="000000"/>
            <w:sz w:val="22"/>
          </w:rPr>
          <w:t>159A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RENEWABLE FUEL INFRASTRUCTURE BOARD</w:t>
      </w:r>
    </w:p>
    <w:p>
      <w:pPr>
        <w:spacing w:before="0" w:after="0"/>
        <w:ind w:left="120"/>
        <w:jc w:val="both"/>
      </w:pPr>
      <w:r>
        <w:rPr>
          <w:rFonts w:ascii="Times New Roman" w:hAnsi="Times New Roman"/>
          <w:b/>
          <w:i w:val="false"/>
          <w:color w:val="000000"/>
          <w:sz w:val="22"/>
        </w:rPr>
        <w:t>21—13.2</w:t>
      </w:r>
      <w:r>
        <w:rPr>
          <w:rFonts w:ascii="Times New Roman" w:hAnsi="Times New Roman"/>
          <w:b/>
          <w:i w:val="false"/>
          <w:color w:val="000000"/>
          <w:sz w:val="22"/>
        </w:rPr>
        <w:t xml:space="preserve">(159A) </w:t>
      </w:r>
      <w:r>
        <w:rPr>
          <w:rFonts w:ascii="Times New Roman" w:hAnsi="Times New Roman"/>
          <w:b/>
          <w:i w:val="false"/>
          <w:color w:val="000000"/>
          <w:sz w:val="22"/>
        </w:rPr>
        <w:t xml:space="preserve">Renewable fuel infrastructure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board exists to make awards for renewable fuel infrastructure programs and perform other functions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Staff assistance is provided through the department. The department will market the renewable fuel infrastructure program throughout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Board meetings will generally be held at the department’s offices, electronically, or by telephone. All meetings are to comply with Iowa Code chapter </w:t>
      </w:r>
      <w:hyperlink r:id="rId1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159A.13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21—13.3</w:t>
      </w:r>
      <w:r>
        <w:rPr>
          <w:rFonts w:ascii="Times New Roman" w:hAnsi="Times New Roman"/>
          <w:b w:val="false"/>
          <w:i w:val="false"/>
          <w:color w:val="000000"/>
          <w:sz w:val="22"/>
        </w:rPr>
        <w:t xml:space="preserve"> to </w:t>
      </w:r>
      <w:r>
        <w:rPr>
          <w:rFonts w:ascii="Times New Roman" w:hAnsi="Times New Roman"/>
          <w:b/>
          <w:i w:val="false"/>
          <w:color w:val="000000"/>
          <w:sz w:val="22"/>
        </w:rPr>
        <w:t>13.9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RENEWABLE FUEL INFRASTRUCTURE PROGRAM FOR RETAIL MOTOR FUEL SITES</w:t>
      </w:r>
    </w:p>
    <w:p>
      <w:pPr>
        <w:spacing w:before="0" w:after="0"/>
        <w:ind w:left="120"/>
        <w:jc w:val="both"/>
      </w:pPr>
      <w:r>
        <w:rPr>
          <w:rFonts w:ascii="Times New Roman" w:hAnsi="Times New Roman"/>
          <w:b/>
          <w:i w:val="false"/>
          <w:color w:val="000000"/>
          <w:sz w:val="22"/>
        </w:rPr>
        <w:t>21—13.10</w:t>
      </w:r>
      <w:r>
        <w:rPr>
          <w:rFonts w:ascii="Times New Roman" w:hAnsi="Times New Roman"/>
          <w:b/>
          <w:i w:val="false"/>
          <w:color w:val="000000"/>
          <w:sz w:val="22"/>
        </w:rPr>
        <w:t xml:space="preserve">(159A)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renewable fuel infrastructure program is to install, replace and convert infrastructure to store, blend, and dispense renewable fuels at a retail motor fuel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21—13.11</w:t>
      </w:r>
      <w:r>
        <w:rPr>
          <w:rFonts w:ascii="Times New Roman" w:hAnsi="Times New Roman"/>
          <w:b/>
          <w:i w:val="false"/>
          <w:color w:val="000000"/>
          <w:sz w:val="22"/>
        </w:rPr>
        <w:t xml:space="preserve">(159A)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To be eligible to receive a retail motor fuel site infrastructure grant,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val="false"/>
          <w:color w:val="000000"/>
          <w:sz w:val="22"/>
        </w:rPr>
        <w:t>Be an owner or operator of a retail motor fuel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val="false"/>
          <w:color w:val="000000"/>
          <w:sz w:val="22"/>
        </w:rPr>
        <w:t>Submit an application to the department in form and content acceptable to the department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val="false"/>
          <w:color w:val="000000"/>
          <w:sz w:val="22"/>
        </w:rPr>
        <w:t>Meet the following eligibility requirements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fuel storage and dispensing infrastructure may include either an aboveground or belowground storage tank and ancillary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storage tank must, however, be used exclusively for retail delivery to the final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tank has multiple compartments, at least one of the compartments must be used exclusively for the storage and dispensing of ethanol blended gasoline classified as E-15 or higher, biodiesel or biodiesel blended fuel classified as B-5 or higher at retail. The compartment used exclusively for the storage of ethanol blended gasoline at E-15 or higher, biodiesel or biodiesel blended fuel is considered the tank for purposes of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and ancillary equipment must be in compliance with Iowa Code sections </w:t>
      </w:r>
      <w:hyperlink r:id="rId20">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as evidenced by the most recent IDNR checklist.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dispenser and dispenser components must be listed by an independent testing laboratory, approved by the manufacturer or approved by the department of inspections, appeals, and licensing as compatible with ethanol blended gasoline in accordance with Iowa Code section </w:t>
      </w:r>
      <w:hyperlink r:id="rId22">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An Iowa-licensed installer has been identified to perform the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Conversion kits. If a UL-listed E-85 dispenser conversion kit is used, it must be approved by the department of inspections, appeals, and licensing.</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3">
        <w:r>
          <w:rPr>
            <w:rStyle w:val="Hyperlink"/>
            <w:rFonts w:ascii="Times New Roman" w:hAnsi="Times New Roman"/>
            <w:b w:val="false"/>
            <w:i w:val="false"/>
            <w:color w:val="000000"/>
            <w:sz w:val="22"/>
          </w:rPr>
          <w:t>159A.14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21—13.12</w:t>
      </w:r>
      <w:r>
        <w:rPr>
          <w:rFonts w:ascii="Times New Roman" w:hAnsi="Times New Roman"/>
          <w:b w:val="false"/>
          <w:i w:val="false"/>
          <w:color w:val="000000"/>
          <w:sz w:val="22"/>
        </w:rPr>
        <w:t xml:space="preserve"> to </w:t>
      </w:r>
      <w:r>
        <w:rPr>
          <w:rFonts w:ascii="Times New Roman" w:hAnsi="Times New Roman"/>
          <w:b/>
          <w:i w:val="false"/>
          <w:color w:val="000000"/>
          <w:sz w:val="22"/>
        </w:rPr>
        <w:t>13.14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RENEWABLE FUEL INFRASTRUCTURE PROGRAM FOR BIODIESEL TERMINALS</w:t>
      </w:r>
    </w:p>
    <w:p>
      <w:pPr>
        <w:spacing w:before="0" w:after="0"/>
        <w:ind w:left="120"/>
        <w:jc w:val="both"/>
      </w:pPr>
      <w:r>
        <w:rPr>
          <w:rFonts w:ascii="Times New Roman" w:hAnsi="Times New Roman"/>
          <w:b/>
          <w:i w:val="false"/>
          <w:color w:val="000000"/>
          <w:sz w:val="22"/>
        </w:rPr>
        <w:t>21—13.15</w:t>
      </w:r>
      <w:r>
        <w:rPr>
          <w:rFonts w:ascii="Times New Roman" w:hAnsi="Times New Roman"/>
          <w:b/>
          <w:i w:val="false"/>
          <w:color w:val="000000"/>
          <w:sz w:val="22"/>
        </w:rPr>
        <w:t xml:space="preserve">(159A)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renewable fuel infrastructure program for biodiesel terminal grants is to provide grants to a terminal facility which stores, blends, or distributes biodiesel fuel, including B2 through B98 and B99/B100, to dealers and retailers.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21—13.16</w:t>
      </w:r>
      <w:r>
        <w:rPr>
          <w:rFonts w:ascii="Times New Roman" w:hAnsi="Times New Roman"/>
          <w:b/>
          <w:i w:val="false"/>
          <w:color w:val="000000"/>
          <w:sz w:val="22"/>
        </w:rPr>
        <w:t xml:space="preserve">(159A)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To be eligible to receive a biodiesel terminal grant,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val="false"/>
          <w:color w:val="000000"/>
          <w:sz w:val="22"/>
        </w:rPr>
        <w:t>Be an owner or operator of a biodiesel terminal.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val="false"/>
          <w:color w:val="000000"/>
          <w:sz w:val="22"/>
        </w:rPr>
        <w:t>Submit an application to the department in form and content acceptable to the department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val="false"/>
          <w:color w:val="000000"/>
          <w:sz w:val="22"/>
        </w:rPr>
        <w:t>Meet the following eligibility requirements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terminal must not be a retail motor fuel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terminal must not be a facility at which fuel or blend stocks are used in the manufacture of products other than motor fuel and from which no fuel is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terminal must have at least one storage tank of at least a 10,000-gallon capacity, used exclusively for or dedicated exclusively to the storage of biodiesel fuel. The terminal may also have storage for one or more biodiesel blends. The terminal must have facilities for the dispensing of either biodiesel, biodiesel blends,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dispensing of motor fuel at the terminal must be done at a rack in excess of 100 gpm pumping capacity.</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4">
        <w:r>
          <w:rPr>
            <w:rStyle w:val="Hyperlink"/>
            <w:rFonts w:ascii="Times New Roman" w:hAnsi="Times New Roman"/>
            <w:b w:val="false"/>
            <w:i w:val="false"/>
            <w:color w:val="000000"/>
            <w:sz w:val="22"/>
          </w:rPr>
          <w:t>159A.15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21—13.17</w:t>
      </w:r>
      <w:r>
        <w:rPr>
          <w:rFonts w:ascii="Times New Roman" w:hAnsi="Times New Roman"/>
          <w:b w:val="false"/>
          <w:i w:val="false"/>
          <w:color w:val="000000"/>
          <w:sz w:val="22"/>
        </w:rPr>
        <w:t xml:space="preserve"> to </w:t>
      </w:r>
      <w:r>
        <w:rPr>
          <w:rFonts w:ascii="Times New Roman" w:hAnsi="Times New Roman"/>
          <w:b/>
          <w:i w:val="false"/>
          <w:color w:val="000000"/>
          <w:sz w:val="22"/>
        </w:rPr>
        <w:t>13.19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RENEWABLE FUEL INFRASTRUCTURE PROGRAM ADMINISTRATION</w:t>
      </w:r>
    </w:p>
    <w:p>
      <w:pPr>
        <w:spacing w:before="0" w:after="0"/>
        <w:ind w:left="120"/>
        <w:jc w:val="both"/>
      </w:pPr>
      <w:r>
        <w:rPr>
          <w:rFonts w:ascii="Times New Roman" w:hAnsi="Times New Roman"/>
          <w:b/>
          <w:i w:val="false"/>
          <w:color w:val="000000"/>
          <w:sz w:val="22"/>
        </w:rPr>
        <w:t>21—13.20</w:t>
      </w:r>
      <w:r>
        <w:rPr>
          <w:rFonts w:ascii="Times New Roman" w:hAnsi="Times New Roman"/>
          <w:b/>
          <w:i w:val="false"/>
          <w:color w:val="000000"/>
          <w:sz w:val="22"/>
        </w:rPr>
        <w:t xml:space="preserve">(159A) </w:t>
      </w:r>
      <w:r>
        <w:rPr>
          <w:rFonts w:ascii="Times New Roman" w:hAnsi="Times New Roman"/>
          <w:b/>
          <w:i w:val="false"/>
          <w:color w:val="000000"/>
          <w:sz w:val="22"/>
        </w:rPr>
        <w:t xml:space="preserve">Form of award available; award amount.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13.20(1)</w:t>
      </w:r>
      <w:r>
        <w:rPr>
          <w:rFonts w:ascii="Times New Roman" w:hAnsi="Times New Roman"/>
          <w:b w:val="false"/>
          <w:i w:val="false"/>
          <w:color w:val="000000"/>
          <w:sz w:val="22"/>
        </w:rPr>
        <w:t> </w:t>
      </w:r>
      <w:r>
        <w:rPr>
          <w:rFonts w:ascii="Times New Roman" w:hAnsi="Times New Roman"/>
          <w:b w:val="false"/>
          <w:i/>
          <w:color w:val="000000"/>
          <w:sz w:val="22"/>
        </w:rPr>
        <w:t xml:space="preserve">Form of award. </w:t>
      </w:r>
      <w:r>
        <w:rPr>
          <w:rFonts w:ascii="Times New Roman" w:hAnsi="Times New Roman"/>
          <w:b w:val="false"/>
          <w:i w:val="false"/>
          <w:color w:val="000000"/>
          <w:sz w:val="22"/>
        </w:rPr>
        <w:t>Eligible applicants may apply for financial incentives on a cost-share basis. Funding is available in the form of a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13.20(2)</w:t>
      </w:r>
      <w:r>
        <w:rPr>
          <w:rFonts w:ascii="Times New Roman" w:hAnsi="Times New Roman"/>
          <w:b w:val="false"/>
          <w:i w:val="false"/>
          <w:color w:val="000000"/>
          <w:sz w:val="22"/>
        </w:rPr>
        <w:t> </w:t>
      </w:r>
      <w:r>
        <w:rPr>
          <w:rFonts w:ascii="Times New Roman" w:hAnsi="Times New Roman"/>
          <w:b w:val="false"/>
          <w:i/>
          <w:color w:val="000000"/>
          <w:sz w:val="22"/>
        </w:rPr>
        <w:t xml:space="preserve">Timing of application. </w:t>
      </w:r>
      <w:r>
        <w:rPr>
          <w:rFonts w:ascii="Times New Roman" w:hAnsi="Times New Roman"/>
          <w:b w:val="false"/>
          <w:i w:val="false"/>
          <w:color w:val="000000"/>
          <w:sz w:val="22"/>
        </w:rPr>
        <w:t>A grant may be awarded for an eligible project not yet commenced. However, a grant for an initial application may not be submitted more than one year after the project is put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13.20(3)</w:t>
      </w:r>
      <w:r>
        <w:rPr>
          <w:rFonts w:ascii="Times New Roman" w:hAnsi="Times New Roman"/>
          <w:b w:val="false"/>
          <w:i w:val="false"/>
          <w:color w:val="000000"/>
          <w:sz w:val="22"/>
        </w:rPr>
        <w:t> </w:t>
      </w:r>
      <w:r>
        <w:rPr>
          <w:rFonts w:ascii="Times New Roman" w:hAnsi="Times New Roman"/>
          <w:b w:val="false"/>
          <w:i/>
          <w:color w:val="000000"/>
          <w:sz w:val="22"/>
        </w:rPr>
        <w:t xml:space="preserve">Amount of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Retail site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Cost-share agreements are subject to the terms specified in Iowa Code section </w:t>
      </w:r>
      <w:hyperlink r:id="rId25">
        <w:r>
          <w:rPr>
            <w:rStyle w:val="Hyperlink"/>
            <w:rFonts w:ascii="Times New Roman" w:hAnsi="Times New Roman"/>
            <w:b w:val="false"/>
            <w:i w:val="false"/>
            <w:color w:val="000000"/>
            <w:sz w:val="22"/>
          </w:rPr>
          <w:t>159A.14</w:t>
        </w:r>
      </w:hyperlink>
      <w:r>
        <w:rPr>
          <w:rFonts w:ascii="Times New Roman" w:hAnsi="Times New Roman"/>
          <w:b w:val="false"/>
          <w:i w:val="false"/>
          <w:color w:val="000000"/>
          <w:sz w:val="22"/>
        </w:rPr>
        <w:t xml:space="preserve">, including the duration of the financing agreement and the award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Supplemental award for additional infrastructure. A person may request a supplemental financial incentive for motor fuel storage and dispensing infrastructure as an amendment to the subsequent cost-share agreement(s). The purpose of an award for an additional tank(s) and associated infrastructure is to accelerate the installation of an additional motor fuel storage and dispensing infrastructure at an additional retail motor fuel site after an initial grant award is provided. Supplemental award amounts are subject to the limitations set forth in Iowa Code section </w:t>
      </w:r>
      <w:hyperlink r:id="rId26">
        <w:r>
          <w:rPr>
            <w:rStyle w:val="Hyperlink"/>
            <w:rFonts w:ascii="Times New Roman" w:hAnsi="Times New Roman"/>
            <w:b w:val="false"/>
            <w:i w:val="false"/>
            <w:color w:val="000000"/>
            <w:sz w:val="22"/>
          </w:rPr>
          <w:t>159A.14(8)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Terminal facility award for biodiesel B2 through B98 and B99/B100 for year-round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Biodiesel fuel B2 through B98. Cost-share agreements are subject to the terms specified in Iowa Code section </w:t>
      </w:r>
      <w:hyperlink r:id="rId27">
        <w:r>
          <w:rPr>
            <w:rStyle w:val="Hyperlink"/>
            <w:rFonts w:ascii="Times New Roman" w:hAnsi="Times New Roman"/>
            <w:b w:val="false"/>
            <w:i w:val="false"/>
            <w:color w:val="000000"/>
            <w:sz w:val="22"/>
          </w:rPr>
          <w:t>159A.15</w:t>
        </w:r>
      </w:hyperlink>
      <w:r>
        <w:rPr>
          <w:rFonts w:ascii="Times New Roman" w:hAnsi="Times New Roman"/>
          <w:b w:val="false"/>
          <w:i w:val="false"/>
          <w:color w:val="000000"/>
          <w:sz w:val="22"/>
        </w:rPr>
        <w:t>, including the duration of the financing agreement and the award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Biodiesel fuel B99/B100 for year-round distribution. Cost-share agreements are subject to the terms and limitations specified in Iowa Code section </w:t>
      </w:r>
      <w:hyperlink r:id="rId28">
        <w:r>
          <w:rPr>
            <w:rStyle w:val="Hyperlink"/>
            <w:rFonts w:ascii="Times New Roman" w:hAnsi="Times New Roman"/>
            <w:b w:val="false"/>
            <w:i w:val="false"/>
            <w:color w:val="000000"/>
            <w:sz w:val="22"/>
          </w:rPr>
          <w:t>159A.15</w:t>
        </w:r>
      </w:hyperlink>
      <w:r>
        <w:rPr>
          <w:rFonts w:ascii="Times New Roman" w:hAnsi="Times New Roman"/>
          <w:b w:val="false"/>
          <w:i w:val="false"/>
          <w:color w:val="000000"/>
          <w:sz w:val="22"/>
        </w:rPr>
        <w:t>, including the duration of the financing agreement and the award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13.20(4)</w:t>
      </w:r>
      <w:r>
        <w:rPr>
          <w:rFonts w:ascii="Times New Roman" w:hAnsi="Times New Roman"/>
          <w:b w:val="false"/>
          <w:i w:val="false"/>
          <w:color w:val="000000"/>
          <w:sz w:val="22"/>
        </w:rPr>
        <w:t> </w:t>
      </w:r>
      <w:r>
        <w:rPr>
          <w:rFonts w:ascii="Times New Roman" w:hAnsi="Times New Roman"/>
          <w:b w:val="false"/>
          <w:i/>
          <w:color w:val="000000"/>
          <w:sz w:val="22"/>
        </w:rPr>
        <w:t xml:space="preserve">Time of payment. </w:t>
      </w:r>
      <w:r>
        <w:rPr>
          <w:rFonts w:ascii="Times New Roman" w:hAnsi="Times New Roman"/>
          <w:b w:val="false"/>
          <w:i w:val="false"/>
          <w:color w:val="000000"/>
          <w:sz w:val="22"/>
        </w:rPr>
        <w:t>The grant will be paid only upon timely completion of the project and upon the board’s receipt of records satisfying the board of the applicant’s qualifying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must deliver to the board prior to payment a certificate of completion on the board’s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of completion must include the IDNR checklist completed and signed by an Iowa-certified installer showing review and approval of the completed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of completion must be accompanied by proof of financial responsibility as necessary to meet federal requirements for underground storage tank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13.20(5)</w:t>
      </w:r>
      <w:r>
        <w:rPr>
          <w:rFonts w:ascii="Times New Roman" w:hAnsi="Times New Roman"/>
          <w:b w:val="false"/>
          <w:i w:val="false"/>
          <w:color w:val="000000"/>
          <w:sz w:val="22"/>
        </w:rPr>
        <w:t> </w:t>
      </w:r>
      <w:r>
        <w:rPr>
          <w:rFonts w:ascii="Times New Roman" w:hAnsi="Times New Roman"/>
          <w:b w:val="false"/>
          <w:i/>
          <w:color w:val="000000"/>
          <w:sz w:val="22"/>
        </w:rPr>
        <w:t xml:space="preserve">Deadline for completion. </w:t>
      </w:r>
      <w:r>
        <w:rPr>
          <w:rFonts w:ascii="Times New Roman" w:hAnsi="Times New Roman"/>
          <w:b w:val="false"/>
          <w:i w:val="false"/>
          <w:color w:val="000000"/>
          <w:sz w:val="22"/>
        </w:rPr>
        <w:t>The project must be completed within eight months of the board’s approval of the award. An extension may be granted by the board upon application showing demonstrable progress toward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13.20(6)</w:t>
      </w:r>
      <w:r>
        <w:rPr>
          <w:rFonts w:ascii="Times New Roman" w:hAnsi="Times New Roman"/>
          <w:b w:val="false"/>
          <w:i w:val="false"/>
          <w:color w:val="000000"/>
          <w:sz w:val="22"/>
        </w:rPr>
        <w:t> </w:t>
      </w:r>
      <w:r>
        <w:rPr>
          <w:rFonts w:ascii="Times New Roman" w:hAnsi="Times New Roman"/>
          <w:b w:val="false"/>
          <w:i/>
          <w:color w:val="000000"/>
          <w:sz w:val="22"/>
        </w:rPr>
        <w:t xml:space="preserve">Multiple awards for multiple fuel types.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 a single fuel site. </w:t>
      </w:r>
      <w:r>
        <w:rPr>
          <w:rFonts w:ascii="Times New Roman" w:hAnsi="Times New Roman"/>
          <w:b w:val="false"/>
          <w:i w:val="false"/>
          <w:color w:val="000000"/>
          <w:sz w:val="22"/>
        </w:rPr>
        <w:t>A person must file a separate application form for an ethanol infrastructure improvement grant and a biodiesel infrastructure improvement grant, respectively, at a single fuel site. The board may approve multiple improvements to the same retail motor fuel site for the full amount available for ethanol infrastructure and biodiesel infrastructure. Applications for ethanol and biodiesel infrastructure improvements must be written in separate cost-share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 multiple fuel sites. </w:t>
      </w:r>
      <w:r>
        <w:rPr>
          <w:rFonts w:ascii="Times New Roman" w:hAnsi="Times New Roman"/>
          <w:b w:val="false"/>
          <w:i w:val="false"/>
          <w:color w:val="000000"/>
          <w:sz w:val="22"/>
        </w:rPr>
        <w:t xml:space="preserve">A person may receive multiple grants as described in paragraph </w:t>
      </w:r>
      <w:r>
        <w:rPr>
          <w:rFonts w:ascii="Times New Roman" w:hAnsi="Times New Roman"/>
          <w:b w:val="false"/>
          <w:i w:val="false"/>
          <w:color w:val="000000"/>
          <w:sz w:val="22"/>
        </w:rPr>
        <w:t>13.20(6)</w:t>
      </w:r>
      <w:r>
        <w:rPr>
          <w:rFonts w:ascii="Times New Roman" w:hAnsi="Times New Roman"/>
          <w:b w:val="false"/>
          <w:i/>
          <w:color w:val="000000"/>
          <w:sz w:val="22"/>
        </w:rPr>
        <w:t>“a”</w:t>
      </w:r>
      <w:r>
        <w:rPr>
          <w:rFonts w:ascii="Times New Roman" w:hAnsi="Times New Roman"/>
          <w:b w:val="false"/>
          <w:i w:val="false"/>
          <w:color w:val="000000"/>
          <w:sz w:val="22"/>
        </w:rPr>
        <w:t xml:space="preserve"> for more than one motor fuel site. When considering multiple grants for multiple fuel sites, the board will make awards fairly and properly among applicants and geographic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13.20(7)</w:t>
      </w:r>
      <w:r>
        <w:rPr>
          <w:rFonts w:ascii="Times New Roman" w:hAnsi="Times New Roman"/>
          <w:b w:val="false"/>
          <w:i w:val="false"/>
          <w:color w:val="000000"/>
          <w:sz w:val="22"/>
        </w:rPr>
        <w:t> </w:t>
      </w:r>
      <w:r>
        <w:rPr>
          <w:rFonts w:ascii="Times New Roman" w:hAnsi="Times New Roman"/>
          <w:b w:val="false"/>
          <w:i/>
          <w:color w:val="000000"/>
          <w:sz w:val="22"/>
        </w:rPr>
        <w:t xml:space="preserve">Exhaustion of funds. </w:t>
      </w:r>
      <w:r>
        <w:rPr>
          <w:rFonts w:ascii="Times New Roman" w:hAnsi="Times New Roman"/>
          <w:b w:val="false"/>
          <w:i w:val="false"/>
          <w:color w:val="000000"/>
          <w:sz w:val="22"/>
        </w:rPr>
        <w:t>In the event funding is exhausted, the board may approve remaining applications based on criteria implemented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21—13.21</w:t>
      </w:r>
      <w:r>
        <w:rPr>
          <w:rFonts w:ascii="Times New Roman" w:hAnsi="Times New Roman"/>
          <w:b/>
          <w:i w:val="false"/>
          <w:color w:val="000000"/>
          <w:sz w:val="22"/>
        </w:rPr>
        <w:t xml:space="preserve">(159A)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may be submitted at any time, but will be reviewed on a first-come, first-served basis as established by the date stamp on the filed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are to be submitted to: Renewable Fuel Infrastructure Board, Iowa Department of Agriculture and Land Stewardship, 502 East Ninth Street, Des Moines, Iowa 50309. Application forms and instructions are available at this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Statutory requirements. An application must include the information required in Iowa Code chapter </w:t>
      </w:r>
      <w:hyperlink r:id="rId29">
        <w:r>
          <w:rPr>
            <w:rStyle w:val="Hyperlink"/>
            <w:rFonts w:ascii="Times New Roman" w:hAnsi="Times New Roman"/>
            <w:b w:val="false"/>
            <w:i w:val="false"/>
            <w:color w:val="000000"/>
            <w:sz w:val="22"/>
          </w:rPr>
          <w:t>159A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information required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Assurance that the project will be for the purpose of installing, replacing, or converting equipment for the storage or dispensing of the renewable fuel under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Assurance that all equipment funded by the grant will be used to store or dispense E-15 or higher gasoline, biodiesel or biodiesel blended fuel classified as B-5 or higher, respectively, for the period specified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IDNR checklist indicating the current status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Assurance of compliance with any and all federal requirements for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Assurance of compliance with any and all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cost proposal from an Iowa-licensed underground storage tank installer (for underground storage projects) and a qualified aboveground storage tank installer (for aboveground storage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21—13.22</w:t>
      </w:r>
      <w:r>
        <w:rPr>
          <w:rFonts w:ascii="Times New Roman" w:hAnsi="Times New Roman"/>
          <w:b/>
          <w:i w:val="false"/>
          <w:color w:val="000000"/>
          <w:sz w:val="22"/>
        </w:rPr>
        <w:t xml:space="preserve">(159A)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13.22(1)</w:t>
      </w:r>
      <w:r>
        <w:rPr>
          <w:rFonts w:ascii="Times New Roman" w:hAnsi="Times New Roman"/>
          <w:b w:val="false"/>
          <w:i w:val="false"/>
          <w:color w:val="000000"/>
          <w:sz w:val="22"/>
        </w:rPr>
        <w:t> </w:t>
      </w:r>
      <w:r>
        <w:rPr>
          <w:rFonts w:ascii="Times New Roman" w:hAnsi="Times New Roman"/>
          <w:b w:val="false"/>
          <w:i w:val="false"/>
          <w:color w:val="000000"/>
          <w:sz w:val="22"/>
        </w:rPr>
        <w:t>The renewable fuel infrastructure board will review an application for final approval or disapproval. The renewable fuel infrastructure board will determine the amount of financial incentives to be awarded to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Completed applications, including supporting documentation of meeting eligibility requirements, will be reviewed on a first-come, first-served basis. The board will rank applications in accordance with Iowa Code section </w:t>
      </w:r>
      <w:hyperlink r:id="rId30">
        <w:r>
          <w:rPr>
            <w:rStyle w:val="Hyperlink"/>
            <w:rFonts w:ascii="Times New Roman" w:hAnsi="Times New Roman"/>
            <w:b w:val="false"/>
            <w:i w:val="false"/>
            <w:color w:val="000000"/>
            <w:sz w:val="22"/>
          </w:rPr>
          <w:t>159A.14(6)</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13.22(3)</w:t>
      </w:r>
      <w:r>
        <w:rPr>
          <w:rFonts w:ascii="Times New Roman" w:hAnsi="Times New Roman"/>
          <w:b w:val="false"/>
          <w:i w:val="false"/>
          <w:color w:val="000000"/>
          <w:sz w:val="22"/>
        </w:rPr>
        <w:t> </w:t>
      </w:r>
      <w:r>
        <w:rPr>
          <w:rFonts w:ascii="Times New Roman" w:hAnsi="Times New Roman"/>
          <w:b w:val="false"/>
          <w:i w:val="false"/>
          <w:color w:val="000000"/>
          <w:sz w:val="22"/>
        </w:rPr>
        <w:t>If the amount of funding requests exceeds available funds, the board will evaluate applications based upon criteria that include but are not limited to, in no particular order,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Submittal of a completed application, including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Location factors such as demographics, proximity to major transportation corridors, and proximity to existing renewable fuel retail and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Projected annual sales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sources of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Previous grants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21—13.23</w:t>
      </w:r>
      <w:r>
        <w:rPr>
          <w:rFonts w:ascii="Times New Roman" w:hAnsi="Times New Roman"/>
          <w:b/>
          <w:i w:val="false"/>
          <w:color w:val="000000"/>
          <w:sz w:val="22"/>
        </w:rPr>
        <w:t xml:space="preserve">(159A) </w:t>
      </w:r>
      <w:r>
        <w:rPr>
          <w:rFonts w:ascii="Times New Roman" w:hAnsi="Times New Roman"/>
          <w:b/>
          <w:i w:val="false"/>
          <w:color w:val="000000"/>
          <w:sz w:val="22"/>
        </w:rPr>
        <w:t xml:space="preserve">Contract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The department will notify approved applicants in writing of the board’s award of grants, including any conditions and terms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The board will direct the department to prepare a cost-share agreement that includes the terms and conditions of the grant established by the board. The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 the project in sufficient detail to demonstrate the eligibility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total cost of the project expressed in a project budget that contains sufficient detail to meet the requirements of the infrastructure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the project completion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the project completion requirements that are preconditions for payment of the grant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Recite the penalty for the storage or dispensing of motor fuel other than the type of renewable fuel for which the grant was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Awards for projects under construction or not yet started. The five-year obligation to continue dispensing renewable fuel begins on the date the project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Awards for projects already completed. The five-year obligation to continue dispensing renewable fuel begins on the date the department issues the first disbursement of grant funds, not on the date of project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amended to include a supplemental financial incentive, if a supplemental financial incentive is awarded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13.23(3)</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2023, the department shall only reimburse an applicant for qualifying expenditures that comply with Iowa Code sections </w:t>
      </w:r>
      <w:hyperlink r:id="rId31">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xml:space="preserve"> unless a grant was awarded to the applicant with moneys appropriated in the 2022 fiscal year budget or prior.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cases where both state and federal incentives are being utilized for a project at a retail motor fuel site, and those incentives, when combined, would exceed the total cost of the project at the retail motor fuel site, the department will reduce the state financial incentive to an amount that would not exceed the total cost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13.23(4)</w:t>
      </w:r>
      <w:r>
        <w:rPr>
          <w:rFonts w:ascii="Times New Roman" w:hAnsi="Times New Roman"/>
          <w:b w:val="false"/>
          <w:i w:val="false"/>
          <w:color w:val="000000"/>
          <w:sz w:val="22"/>
        </w:rPr>
        <w:t> </w:t>
      </w:r>
      <w:r>
        <w:rPr>
          <w:rFonts w:ascii="Times New Roman" w:hAnsi="Times New Roman"/>
          <w:b w:val="false"/>
          <w:i/>
          <w:color w:val="000000"/>
          <w:sz w:val="22"/>
        </w:rPr>
        <w:t xml:space="preserve">Repayment penalty for nonexclusive renewable fuel use. </w:t>
      </w:r>
      <w:r>
        <w:rPr>
          <w:rFonts w:ascii="Times New Roman" w:hAnsi="Times New Roman"/>
          <w:b w:val="false"/>
          <w:i w:val="false"/>
          <w:color w:val="000000"/>
          <w:sz w:val="22"/>
        </w:rPr>
        <w:t>In the absence of a waiver from the board, the department may impose a 25 percent penalty due to a grant recipient’s use of infrastructure equipment for which a grant was awarded, for the storage or dispensing, within the time frame stated in the agreement, of motor fuel other than the type of renewable fuel for which the grant was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13.23(5)</w:t>
      </w:r>
      <w:r>
        <w:rPr>
          <w:rFonts w:ascii="Times New Roman" w:hAnsi="Times New Roman"/>
          <w:b w:val="false"/>
          <w:i w:val="false"/>
          <w:color w:val="000000"/>
          <w:sz w:val="22"/>
        </w:rPr>
        <w:t> </w:t>
      </w:r>
      <w:r>
        <w:rPr>
          <w:rFonts w:ascii="Times New Roman" w:hAnsi="Times New Roman"/>
          <w:b w:val="false"/>
          <w:i/>
          <w:color w:val="000000"/>
          <w:sz w:val="22"/>
        </w:rPr>
        <w:t xml:space="preserve">Repayment or board waiver. </w:t>
      </w:r>
      <w:r>
        <w:rPr>
          <w:rFonts w:ascii="Times New Roman" w:hAnsi="Times New Roman"/>
          <w:b w:val="false"/>
          <w:i w:val="false"/>
          <w:color w:val="000000"/>
          <w:sz w:val="22"/>
        </w:rPr>
        <w:t>A grant recipient may not use the infrastructure to store and dispense motor fuel other than the type approved by the board, unless one of the following applies: (1) the grantee is granted a waiver by the board, or (2) the grantee pays back the moneys awarded including a 25 percent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13.23(6)</w:t>
      </w:r>
      <w:r>
        <w:rPr>
          <w:rFonts w:ascii="Times New Roman" w:hAnsi="Times New Roman"/>
          <w:b w:val="false"/>
          <w:i w:val="false"/>
          <w:color w:val="000000"/>
          <w:sz w:val="22"/>
        </w:rPr>
        <w:t> </w:t>
      </w:r>
      <w:r>
        <w:rPr>
          <w:rFonts w:ascii="Times New Roman" w:hAnsi="Times New Roman"/>
          <w:b w:val="false"/>
          <w:i/>
          <w:color w:val="000000"/>
          <w:sz w:val="22"/>
        </w:rPr>
        <w:t xml:space="preserve">Waiver criteria. </w:t>
      </w:r>
      <w:r>
        <w:rPr>
          <w:rFonts w:ascii="Times New Roman" w:hAnsi="Times New Roman"/>
          <w:b w:val="false"/>
          <w:i w:val="false"/>
          <w:color w:val="000000"/>
          <w:sz w:val="22"/>
        </w:rPr>
        <w:t>The board may waive repayment of grant funds plus the 25 percent penalty. A grant recipient seeking a waiver during the time period in which a cost-share agreement is in effect shall submit a written waiver request to the board. The board will consider waiver requests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Permanent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Waiver due to demonstration of good cause (no repayment and no 25 percent penalty). A grant recipient may request a permanent waiver during the time period in which a cost-share grant agreement is in effect if the grant recipient can demonstrate good cause for failure to continue using the approved renewable fuel. “Good cause” includes, but is not limited to, events such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Permanent business closure due to bankruptcy.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Permanent closure of underground or aboveground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Waiver due to demonstration of financial hardship (repayment on a sliding scale and no 25 percent penalty). A grant recipient may seek a permanent waiver of exclusive use of the approved renewable fuel during the time period in which a cost-share agreement is in effect due to financial hardship. The grant recipient must demonstrate that continuing to dispense the renewable fuel at a project site will cause a financial hardship. A request for waiver due to financial hardship shall include documentation to show a “good faith” effort to market the fuel, specifically the most recent six-month history of gallons of approved renewable fuel sold by month, marketing/advertising efforts, retail price comparison of E-15 or E-85 to E-10 (or regular gasoline) or of biodiesel to regular diesel. If a waiver is granted, the 25 percent penalty will not be assessed, but the grant funds shall be repaid at 100 percent for months one through ten of a cost-share agreement or 2 percent of the grant amount for each month remaining on the cost-share agreement after month 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Temporary waiver (temporary suspension of repayment and 25 percent penalty). </w:t>
      </w:r>
      <w:r>
        <w:rPr>
          <w:rFonts w:ascii="Times New Roman" w:hAnsi="Times New Roman"/>
          <w:b w:val="false"/>
          <w:i w:val="false"/>
          <w:color w:val="000000"/>
          <w:sz w:val="22"/>
        </w:rPr>
        <w:t>A grant recipient may request a temporary suspension of the obligation to use only the approved renewable fuel and a temporary waiver of the repayment plus penalty requirement. A request for a temporary waiver, or an extension of a temporary waiver, will only be considered by the board if the recipient can document to the board’s satisfaction that market forces are not allowing for advantageous sales of the approved renewable fuel. A grant recipient shall submit documentation of the previous six-month sales history and marketing attempts to substantiate the grant recipient’s request for a temporary waiver. The following conditions apply to requests for a temporary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temporary waiver will not be granted during the first six months of a cost-share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temporary waiver will not shorten the grant recipient’s obligation to use the infrastructure to store and dispense the approved renewable fuel for a minimum of five years. If the board approves a temporary waiver, the duration of the cost-share agreement will be extended by the length of the approved waiver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grant recipient may request a temporary waiver of up to six months. The board may approve one or more six-month waivers, provided the total cumulative time period allowed for temporary waivers shall not exceed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state executive order suspending the Iowa Renewable Fuel Standard (RFS) schedule is issued, the board may decide to grant a temporary waiver to all grant recipients. The board will establish the duration of the waiver and provide written notice to all grant recipients of the board’s action. When the board determines that a temporary waiver is necessary due to suspension of the Iowa RFS schedule, the five-year duration of the cost-share agreement will not be extended by the length of the temporary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3">
        <w:r>
          <w:rPr>
            <w:rStyle w:val="Hyperlink"/>
            <w:rFonts w:ascii="Times New Roman" w:hAnsi="Times New Roman"/>
            <w:b w:val="false"/>
            <w:i w:val="false"/>
            <w:color w:val="000000"/>
            <w:sz w:val="22"/>
          </w:rPr>
          <w:t>159A.11 through 159A.16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9584B, IAB 6/29/11, effective 7/1/11]</w:t>
      </w:r>
    </w:p>
    <w:p>
      <w:pPr>
        <w:spacing w:before="0" w:after="0"/>
        <w:ind w:left="120"/>
        <w:jc w:val="center"/>
      </w:pPr>
      <w:r>
        <w:rPr>
          <w:rFonts w:ascii="Times New Roman" w:hAnsi="Times New Roman"/>
          <w:b w:val="false"/>
          <w:i w:val="false"/>
          <w:color w:val="000000"/>
          <w:sz w:val="21"/>
        </w:rPr>
        <w:t>[Filed ARC 9816B</w:t>
      </w:r>
      <w:r>
        <w:rPr>
          <w:rFonts w:ascii="Times New Roman" w:hAnsi="Times New Roman"/>
          <w:b w:val="false"/>
          <w:i w:val="false"/>
          <w:color w:val="000000"/>
          <w:sz w:val="21"/>
        </w:rPr>
        <w:t xml:space="preserve"> (Notice ARC 9583B, IAB 6/29/11)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0738C</w:t>
      </w:r>
      <w:r>
        <w:rPr>
          <w:rFonts w:ascii="Times New Roman" w:hAnsi="Times New Roman"/>
          <w:b w:val="false"/>
          <w:i w:val="false"/>
          <w:color w:val="000000"/>
          <w:sz w:val="21"/>
        </w:rPr>
        <w:t xml:space="preserve"> (Notice ARC 0645C, IAB 3/20/13)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2577C</w:t>
      </w:r>
      <w:r>
        <w:rPr>
          <w:rFonts w:ascii="Times New Roman" w:hAnsi="Times New Roman"/>
          <w:b w:val="false"/>
          <w:i w:val="false"/>
          <w:color w:val="000000"/>
          <w:sz w:val="21"/>
        </w:rPr>
        <w:t xml:space="preserve"> (Notice ARC 2479C, IAB 3/30/16)</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6636C</w:t>
      </w:r>
      <w:r>
        <w:rPr>
          <w:rFonts w:ascii="Times New Roman" w:hAnsi="Times New Roman"/>
          <w:b w:val="false"/>
          <w:i w:val="false"/>
          <w:color w:val="000000"/>
          <w:sz w:val="21"/>
        </w:rPr>
        <w:t xml:space="preserve"> (Notice ARC 6426C, IAB 7/27/22)</w:t>
      </w:r>
      <w:r>
        <w:rPr>
          <w:rFonts w:ascii="Times New Roman" w:hAnsi="Times New Roman"/>
          <w:b w:val="false"/>
          <w:i w:val="false"/>
          <w:color w:val="000000"/>
          <w:sz w:val="21"/>
        </w:rPr>
        <w:t>, IAB 11/16/22, effective 1/1/23]</w:t>
      </w:r>
    </w:p>
    <w:p>
      <w:pPr>
        <w:spacing w:before="0" w:after="0"/>
        <w:ind w:left="120"/>
        <w:jc w:val="center"/>
      </w:pPr>
      <w:r>
        <w:rPr>
          <w:rFonts w:ascii="Times New Roman" w:hAnsi="Times New Roman"/>
          <w:b w:val="false"/>
          <w:i w:val="false"/>
          <w:color w:val="000000"/>
          <w:sz w:val="21"/>
        </w:rPr>
        <w:t>[Filed ARC 8742C</w:t>
      </w:r>
      <w:r>
        <w:rPr>
          <w:rFonts w:ascii="Times New Roman" w:hAnsi="Times New Roman"/>
          <w:b w:val="false"/>
          <w:i w:val="false"/>
          <w:color w:val="000000"/>
          <w:sz w:val="21"/>
        </w:rPr>
        <w:t xml:space="preserve"> (Notice ARC 8329C,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61.311.pdf" Type="http://schemas.openxmlformats.org/officeDocument/2006/relationships/hyperlink" Id="rId4"/>
    <Relationship TargetMode="External" Target="https://www.legis.iowa.gov/docs/ico/chapter/159A.pdf" Type="http://schemas.openxmlformats.org/officeDocument/2006/relationships/hyperlink" Id="rId5"/>
    <Relationship TargetMode="External" Target="https://www.legis.iowa.gov/docs/ico/chapter/214A.pdf" Type="http://schemas.openxmlformats.org/officeDocument/2006/relationships/hyperlink" Id="rId6"/>
    <Relationship TargetMode="External" Target="https://www.legis.iowa.gov/docs/ico/chapter/214A.pdf" Type="http://schemas.openxmlformats.org/officeDocument/2006/relationships/hyperlink" Id="rId7"/>
    <Relationship TargetMode="External" Target="https://www.legis.iowa.gov/docs/ico/chapter/214.pdf" Type="http://schemas.openxmlformats.org/officeDocument/2006/relationships/hyperlink" Id="rId8"/>
    <Relationship TargetMode="External" Target="https://www.legis.iowa.gov/docs/ico/chapter/159A.pdf" Type="http://schemas.openxmlformats.org/officeDocument/2006/relationships/hyperlink" Id="rId9"/>
    <Relationship TargetMode="External" Target="https://www.legis.iowa.gov/docs/ico/chapter/159A.pdf" Type="http://schemas.openxmlformats.org/officeDocument/2006/relationships/hyperlink" Id="rId10"/>
    <Relationship TargetMode="External" Target="https://www.legis.iowa.gov/docs/ico/chapter/4.pdf" Type="http://schemas.openxmlformats.org/officeDocument/2006/relationships/hyperlink" Id="rId11"/>
    <Relationship TargetMode="External" Target="https://www.legis.iowa.gov/docs/ico/chapter/214A.pdf" Type="http://schemas.openxmlformats.org/officeDocument/2006/relationships/hyperlink" Id="rId12"/>
    <Relationship TargetMode="External" Target="https://www.legis.iowa.gov/docs/ico/chapter/214A.pdf" Type="http://schemas.openxmlformats.org/officeDocument/2006/relationships/hyperlink" Id="rId13"/>
    <Relationship TargetMode="External" Target="https://www.legis.iowa.gov/docs/ico/chapter/159A.pdf" Type="http://schemas.openxmlformats.org/officeDocument/2006/relationships/hyperlink" Id="rId14"/>
    <Relationship TargetMode="External" Target="https://www.legis.iowa.gov/docs/ico/chapter/159A.pdf" Type="http://schemas.openxmlformats.org/officeDocument/2006/relationships/hyperlink" Id="rId15"/>
    <Relationship TargetMode="External" Target="https://www.legis.iowa.gov/docs/ico/chapter/159A.pdf" Type="http://schemas.openxmlformats.org/officeDocument/2006/relationships/hyperlink" Id="rId16"/>
    <Relationship TargetMode="External" Target="https://www.legis.iowa.gov/docs/ico/chapter/159A.pdf" Type="http://schemas.openxmlformats.org/officeDocument/2006/relationships/hyperlink" Id="rId17"/>
    <Relationship TargetMode="External" Target="https://www.legis.iowa.gov/docs/ico/chapter/21.pdf" Type="http://schemas.openxmlformats.org/officeDocument/2006/relationships/hyperlink" Id="rId18"/>
    <Relationship TargetMode="External" Target="https://www.legis.iowa.gov/docs/ico/chapter/159A.pdf" Type="http://schemas.openxmlformats.org/officeDocument/2006/relationships/hyperlink" Id="rId19"/>
    <Relationship TargetMode="External" Target="https://www.legis.iowa.gov/docs/ico/chapter/455G.pdf" Type="http://schemas.openxmlformats.org/officeDocument/2006/relationships/hyperlink" Id="rId20"/>
    <Relationship TargetMode="External" Target="https://www.legis.iowa.gov/docs/ico/chapter/455G.pdf" Type="http://schemas.openxmlformats.org/officeDocument/2006/relationships/hyperlink" Id="rId21"/>
    <Relationship TargetMode="External" Target="https://www.legis.iowa.gov/docs/ico/chapter/455G.pdf" Type="http://schemas.openxmlformats.org/officeDocument/2006/relationships/hyperlink" Id="rId22"/>
    <Relationship TargetMode="External" Target="https://www.legis.iowa.gov/docs/ico/chapter/159A.pdf" Type="http://schemas.openxmlformats.org/officeDocument/2006/relationships/hyperlink" Id="rId23"/>
    <Relationship TargetMode="External" Target="https://www.legis.iowa.gov/docs/ico/chapter/159A.pdf" Type="http://schemas.openxmlformats.org/officeDocument/2006/relationships/hyperlink" Id="rId24"/>
    <Relationship TargetMode="External" Target="https://www.legis.iowa.gov/docs/ico/chapter/159A.pdf" Type="http://schemas.openxmlformats.org/officeDocument/2006/relationships/hyperlink" Id="rId25"/>
    <Relationship TargetMode="External" Target="https://www.legis.iowa.gov/docs/ico/chapter/159A.pdf" Type="http://schemas.openxmlformats.org/officeDocument/2006/relationships/hyperlink" Id="rId26"/>
    <Relationship TargetMode="External" Target="https://www.legis.iowa.gov/docs/ico/chapter/159A.pdf" Type="http://schemas.openxmlformats.org/officeDocument/2006/relationships/hyperlink" Id="rId27"/>
    <Relationship TargetMode="External" Target="https://www.legis.iowa.gov/docs/ico/chapter/159A.pdf" Type="http://schemas.openxmlformats.org/officeDocument/2006/relationships/hyperlink" Id="rId28"/>
    <Relationship TargetMode="External" Target="https://www.legis.iowa.gov/docs/ico/chapter/159A.pdf" Type="http://schemas.openxmlformats.org/officeDocument/2006/relationships/hyperlink" Id="rId29"/>
    <Relationship TargetMode="External" Target="https://www.legis.iowa.gov/docs/ico/chapter/159A.pdf" Type="http://schemas.openxmlformats.org/officeDocument/2006/relationships/hyperlink" Id="rId30"/>
    <Relationship TargetMode="External" Target="https://www.legis.iowa.gov/docs/ico/chapter/455G.pdf" Type="http://schemas.openxmlformats.org/officeDocument/2006/relationships/hyperlink" Id="rId31"/>
    <Relationship TargetMode="External" Target="https://www.legis.iowa.gov/docs/ico/chapter/455G.pdf" Type="http://schemas.openxmlformats.org/officeDocument/2006/relationships/hyperlink" Id="rId32"/>
    <Relationship TargetMode="External" Target="https://www.legis.iowa.gov/docs/ico/chapter/159A.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