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w:t>
      </w:r>
    </w:p>
    <w:p>
      <w:pPr>
        <w:spacing w:before="0" w:after="0"/>
        <w:ind w:left="120"/>
        <w:jc w:val="center"/>
      </w:pPr>
      <w:r>
        <w:rPr>
          <w:rFonts w:ascii="Times New Roman" w:hAnsi="Times New Roman"/>
          <w:b w:val="false"/>
          <w:i w:val="false"/>
          <w:color w:val="000000"/>
          <w:sz w:val="21"/>
        </w:rPr>
        <w:t>PUBLIC COMMUNICATIONS AND RECORDS</w:t>
      </w:r>
    </w:p>
    <w:p>
      <w:pPr>
        <w:spacing w:before="0" w:after="0"/>
        <w:ind w:left="120"/>
        <w:jc w:val="both"/>
      </w:pPr>
      <w:r>
        <w:rPr>
          <w:rFonts w:ascii="Times New Roman" w:hAnsi="Times New Roman"/>
          <w:b/>
          <w:i w:val="false"/>
          <w:color w:val="000000"/>
          <w:sz w:val="22"/>
        </w:rPr>
        <w:t>205—6.1</w:t>
      </w:r>
      <w:r>
        <w:rPr>
          <w:rFonts w:ascii="Times New Roman" w:hAnsi="Times New Roman"/>
          <w:b/>
          <w:i w:val="false"/>
          <w:color w:val="000000"/>
          <w:sz w:val="22"/>
        </w:rPr>
        <w:t xml:space="preserve">(22) </w:t>
      </w:r>
      <w:r>
        <w:rPr>
          <w:rFonts w:ascii="Times New Roman" w:hAnsi="Times New Roman"/>
          <w:b/>
          <w:i w:val="false"/>
          <w:color w:val="000000"/>
          <w:sz w:val="22"/>
        </w:rPr>
        <w:t xml:space="preserve">General. </w:t>
      </w:r>
      <w:r>
        <w:rPr>
          <w:rFonts w:ascii="Times New Roman" w:hAnsi="Times New Roman"/>
          <w:b w:val="false"/>
          <w:i w:val="false"/>
          <w:color w:val="000000"/>
          <w:sz w:val="22"/>
        </w:rPr>
        <w:t>The public may obtain information or make submissions to the board through the board’s business office.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8438C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205—6.2</w:t>
      </w:r>
      <w:r>
        <w:rPr>
          <w:rFonts w:ascii="Times New Roman" w:hAnsi="Times New Roman"/>
          <w:b/>
          <w:i w:val="false"/>
          <w:color w:val="000000"/>
          <w:sz w:val="22"/>
        </w:rPr>
        <w:t xml:space="preserve">(22) </w:t>
      </w:r>
      <w:r>
        <w:rPr>
          <w:rFonts w:ascii="Times New Roman" w:hAnsi="Times New Roman"/>
          <w:b/>
          <w:i w:val="false"/>
          <w:color w:val="000000"/>
          <w:sz w:val="22"/>
        </w:rPr>
        <w:t xml:space="preserve">Communications from persons other than victims.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6.2(1)</w:t>
      </w:r>
      <w:r>
        <w:rPr>
          <w:rFonts w:ascii="Times New Roman" w:hAnsi="Times New Roman"/>
          <w:b w:val="false"/>
          <w:i w:val="false"/>
          <w:color w:val="000000"/>
          <w:sz w:val="22"/>
        </w:rPr>
        <w:t> </w:t>
      </w:r>
      <w:r>
        <w:rPr>
          <w:rFonts w:ascii="Times New Roman" w:hAnsi="Times New Roman"/>
          <w:b w:val="false"/>
          <w:i/>
          <w:color w:val="000000"/>
          <w:sz w:val="22"/>
        </w:rPr>
        <w:t xml:space="preserve">Written communication. </w:t>
      </w:r>
      <w:r>
        <w:rPr>
          <w:rFonts w:ascii="Times New Roman" w:hAnsi="Times New Roman"/>
          <w:b w:val="false"/>
          <w:i w:val="false"/>
          <w:color w:val="000000"/>
          <w:sz w:val="22"/>
        </w:rPr>
        <w:t xml:space="preserve">Communications by a person other than a victim, as defined in Iowa Code section </w:t>
      </w:r>
      <w:hyperlink r:id="rId4">
        <w:r>
          <w:rPr>
            <w:rStyle w:val="Hyperlink"/>
            <w:rFonts w:ascii="Times New Roman" w:hAnsi="Times New Roman"/>
            <w:b w:val="false"/>
            <w:i w:val="false"/>
            <w:color w:val="000000"/>
            <w:sz w:val="22"/>
          </w:rPr>
          <w:t>915.10</w:t>
        </w:r>
      </w:hyperlink>
      <w:r>
        <w:rPr>
          <w:rFonts w:ascii="Times New Roman" w:hAnsi="Times New Roman"/>
          <w:b w:val="false"/>
          <w:i w:val="false"/>
          <w:color w:val="000000"/>
          <w:sz w:val="22"/>
        </w:rPr>
        <w:t>, concerning an inmate, parolee, or work releasee should be in writing so that the communication may readily be made a permanent part of the case file. Oral communications concerning an inmate, parolee, or work releasee by a person other than a victim will be heard only with the consent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6.2(2)</w:t>
      </w:r>
      <w:r>
        <w:rPr>
          <w:rFonts w:ascii="Times New Roman" w:hAnsi="Times New Roman"/>
          <w:b w:val="false"/>
          <w:i w:val="false"/>
          <w:color w:val="000000"/>
          <w:sz w:val="22"/>
        </w:rPr>
        <w:t> </w:t>
      </w:r>
      <w:r>
        <w:rPr>
          <w:rFonts w:ascii="Times New Roman" w:hAnsi="Times New Roman"/>
          <w:b w:val="false"/>
          <w:i/>
          <w:color w:val="000000"/>
          <w:sz w:val="22"/>
        </w:rPr>
        <w:t xml:space="preserve">Disclosure to inmate. </w:t>
      </w:r>
      <w:r>
        <w:rPr>
          <w:rFonts w:ascii="Times New Roman" w:hAnsi="Times New Roman"/>
          <w:b w:val="false"/>
          <w:i w:val="false"/>
          <w:color w:val="000000"/>
          <w:sz w:val="22"/>
        </w:rPr>
        <w:t>The board will place a written communication concerning an inmate, parolee, or work releasee in the case file.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8438C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205—6.3</w:t>
      </w:r>
      <w:r>
        <w:rPr>
          <w:rFonts w:ascii="Times New Roman" w:hAnsi="Times New Roman"/>
          <w:b/>
          <w:i w:val="false"/>
          <w:color w:val="000000"/>
          <w:sz w:val="22"/>
        </w:rPr>
        <w:t xml:space="preserve">(22) </w:t>
      </w:r>
      <w:r>
        <w:rPr>
          <w:rFonts w:ascii="Times New Roman" w:hAnsi="Times New Roman"/>
          <w:b/>
          <w:i w:val="false"/>
          <w:color w:val="000000"/>
          <w:sz w:val="22"/>
        </w:rPr>
        <w:t xml:space="preserve">Examination of board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The public may examine and copy public records belonging to the board pursuant to Iowa Code chapter </w:t>
      </w:r>
      <w:hyperlink r:id="rId5">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at the board’s business office. An individual wishing to examine or copy a record in person should schedule an appointment with the board’s business office a minimum of three working days prior to the date on which the individual will review the information in question. When making the appointment, the requesting party should specifically indicate the information desired. Complete inmate files will not be released except by court order. When photocopies of documents or copies of audiotapes or videotapes are provided, the board may require the requester to pay the cost of the copies plus a reasonable charge for copying pursuant to </w:t>
      </w:r>
      <w:hyperlink r:id="rId6">
        <w:r>
          <w:rPr>
            <w:rStyle w:val="Hyperlink"/>
            <w:rFonts w:ascii="Times New Roman" w:hAnsi="Times New Roman"/>
            <w:b w:val="false"/>
            <w:i w:val="false"/>
            <w:color w:val="000000"/>
            <w:sz w:val="22"/>
          </w:rPr>
          <w:t>205—subrule 5.3(7)</w:t>
        </w:r>
      </w:hyperlink>
      <w:r>
        <w:rPr>
          <w:rFonts w:ascii="Times New Roman" w:hAnsi="Times New Roman"/>
          <w:b w:val="false"/>
          <w:i w:val="false"/>
          <w:color w:val="000000"/>
          <w:sz w:val="22"/>
        </w:rPr>
        <w:t>. The board may refer anyone requesting information that has been generated by a source outside the board to the agency or individual that generated the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6.3(2)</w:t>
      </w:r>
      <w:r>
        <w:rPr>
          <w:rFonts w:ascii="Times New Roman" w:hAnsi="Times New Roman"/>
          <w:b w:val="false"/>
          <w:i w:val="false"/>
          <w:color w:val="000000"/>
          <w:sz w:val="22"/>
        </w:rPr>
        <w:t> </w:t>
      </w:r>
      <w:r>
        <w:rPr>
          <w:rFonts w:ascii="Times New Roman" w:hAnsi="Times New Roman"/>
          <w:b w:val="false"/>
          <w:i/>
          <w:color w:val="000000"/>
          <w:sz w:val="22"/>
        </w:rPr>
        <w:t xml:space="preserve">Lawful custodian. </w:t>
      </w:r>
      <w:r>
        <w:rPr>
          <w:rFonts w:ascii="Times New Roman" w:hAnsi="Times New Roman"/>
          <w:b w:val="false"/>
          <w:i w:val="false"/>
          <w:color w:val="000000"/>
          <w:sz w:val="22"/>
        </w:rPr>
        <w:t>The chairperson or the chairperson’s designee as the lawful custodian of the records will be responsible for implementing the board’s rules regarding disclosure of public records and coordination of staff in this regard and generally ensuring compliance by the staff with public records disclosure requirements.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8438C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205—6.4</w:t>
      </w:r>
      <w:r>
        <w:rPr>
          <w:rFonts w:ascii="Times New Roman" w:hAnsi="Times New Roman"/>
          <w:b/>
          <w:i w:val="false"/>
          <w:color w:val="000000"/>
          <w:sz w:val="22"/>
        </w:rPr>
        <w:t xml:space="preserve">(904) </w:t>
      </w:r>
      <w:r>
        <w:rPr>
          <w:rFonts w:ascii="Times New Roman" w:hAnsi="Times New Roman"/>
          <w:b/>
          <w:i w:val="false"/>
          <w:color w:val="000000"/>
          <w:sz w:val="22"/>
        </w:rPr>
        <w:t xml:space="preserve">Disclosure of information regarding inmates and parolees.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w:t>
      </w:r>
      <w:r>
        <w:rPr>
          <w:rFonts w:ascii="Times New Roman" w:hAnsi="Times New Roman"/>
          <w:b w:val="false"/>
          <w:i w:val="false"/>
          <w:color w:val="000000"/>
          <w:sz w:val="22"/>
        </w:rPr>
        <w:t> </w:t>
      </w:r>
      <w:r>
        <w:rPr>
          <w:rFonts w:ascii="Times New Roman" w:hAnsi="Times New Roman"/>
          <w:b w:val="false"/>
          <w:i/>
          <w:color w:val="000000"/>
          <w:sz w:val="22"/>
        </w:rPr>
        <w:t xml:space="preserve">Public information. </w:t>
      </w:r>
      <w:r>
        <w:rPr>
          <w:rFonts w:ascii="Times New Roman" w:hAnsi="Times New Roman"/>
          <w:b w:val="false"/>
          <w:i w:val="false"/>
          <w:color w:val="000000"/>
          <w:sz w:val="22"/>
        </w:rPr>
        <w:t xml:space="preserve">Iowa Code section </w:t>
      </w:r>
      <w:hyperlink r:id="rId7">
        <w:r>
          <w:rPr>
            <w:rStyle w:val="Hyperlink"/>
            <w:rFonts w:ascii="Times New Roman" w:hAnsi="Times New Roman"/>
            <w:b w:val="false"/>
            <w:i w:val="false"/>
            <w:color w:val="000000"/>
            <w:sz w:val="22"/>
          </w:rPr>
          <w:t>904.602(1)</w:t>
        </w:r>
      </w:hyperlink>
      <w:r>
        <w:rPr>
          <w:rFonts w:ascii="Times New Roman" w:hAnsi="Times New Roman"/>
          <w:b w:val="false"/>
          <w:i w:val="false"/>
          <w:color w:val="000000"/>
          <w:sz w:val="22"/>
        </w:rPr>
        <w:t xml:space="preserve"> defines what information regarding individuals receiving services from the department of corrections may be disclosed by the board to anyone who requests such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6.4(2)</w:t>
      </w:r>
      <w:r>
        <w:rPr>
          <w:rFonts w:ascii="Times New Roman" w:hAnsi="Times New Roman"/>
          <w:b w:val="false"/>
          <w:i w:val="false"/>
          <w:color w:val="000000"/>
          <w:sz w:val="22"/>
        </w:rPr>
        <w:t> </w:t>
      </w:r>
      <w:r>
        <w:rPr>
          <w:rFonts w:ascii="Times New Roman" w:hAnsi="Times New Roman"/>
          <w:b w:val="false"/>
          <w:i/>
          <w:color w:val="000000"/>
          <w:sz w:val="22"/>
        </w:rPr>
        <w:t xml:space="preserve">Confidential information regarding inmates and parolees. </w:t>
      </w:r>
      <w:r>
        <w:rPr>
          <w:rFonts w:ascii="Times New Roman" w:hAnsi="Times New Roman"/>
          <w:b w:val="false"/>
          <w:i w:val="false"/>
          <w:color w:val="000000"/>
          <w:sz w:val="22"/>
        </w:rPr>
        <w:t xml:space="preserve">Iowa Code section </w:t>
      </w:r>
      <w:hyperlink r:id="rId8">
        <w:r>
          <w:rPr>
            <w:rStyle w:val="Hyperlink"/>
            <w:rFonts w:ascii="Times New Roman" w:hAnsi="Times New Roman"/>
            <w:b w:val="false"/>
            <w:i w:val="false"/>
            <w:color w:val="000000"/>
            <w:sz w:val="22"/>
          </w:rPr>
          <w:t>904.602(2)</w:t>
        </w:r>
      </w:hyperlink>
      <w:r>
        <w:rPr>
          <w:rFonts w:ascii="Times New Roman" w:hAnsi="Times New Roman"/>
          <w:b w:val="false"/>
          <w:i w:val="false"/>
          <w:color w:val="000000"/>
          <w:sz w:val="22"/>
        </w:rPr>
        <w:t xml:space="preserve"> defines information regarding individuals receiving services from the department of corrections that is confidential and will not be disclosed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Correspondence of a personal or confidential nature as determined by the board or the department directed to the board or the department of corrections from an individual’s family, victims, or employers is confidential.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Communications to the board by members of the public other than public officials to the extent that the board believes that those members of the public would be discouraged from making the communications if the communications were available for general public examination is confidential.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Victim registrations pursuant to </w:t>
      </w:r>
      <w:hyperlink r:id="rId9">
        <w:r>
          <w:rPr>
            <w:rStyle w:val="Hyperlink"/>
            <w:rFonts w:ascii="Times New Roman" w:hAnsi="Times New Roman"/>
            <w:b w:val="false"/>
            <w:i w:val="false"/>
            <w:color w:val="000000"/>
            <w:sz w:val="22"/>
          </w:rPr>
          <w:t>205—Chapter 7</w:t>
        </w:r>
      </w:hyperlink>
      <w:r>
        <w:rPr>
          <w:rFonts w:ascii="Times New Roman" w:hAnsi="Times New Roman"/>
          <w:b w:val="false"/>
          <w:i w:val="false"/>
          <w:color w:val="000000"/>
          <w:sz w:val="22"/>
        </w:rPr>
        <w:t>. A record containing information that is both public and confidential that is reasonably segregable is not confidential after deletion of the confidential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6.4(3)</w:t>
      </w:r>
      <w:r>
        <w:rPr>
          <w:rFonts w:ascii="Times New Roman" w:hAnsi="Times New Roman"/>
          <w:b w:val="false"/>
          <w:i w:val="false"/>
          <w:color w:val="000000"/>
          <w:sz w:val="22"/>
        </w:rPr>
        <w:t> </w:t>
      </w:r>
      <w:r>
        <w:rPr>
          <w:rFonts w:ascii="Times New Roman" w:hAnsi="Times New Roman"/>
          <w:b w:val="false"/>
          <w:i/>
          <w:color w:val="000000"/>
          <w:sz w:val="22"/>
        </w:rPr>
        <w:t xml:space="preserve">Exceptions. </w:t>
      </w:r>
      <w:r>
        <w:rPr>
          <w:rFonts w:ascii="Times New Roman" w:hAnsi="Times New Roman"/>
          <w:b w:val="false"/>
          <w:i w:val="false"/>
          <w:color w:val="000000"/>
          <w:sz w:val="22"/>
        </w:rPr>
        <w:t xml:space="preserve">The board may disclose confidential information described in subrule </w:t>
      </w:r>
      <w:hyperlink r:id="rId10">
        <w:r>
          <w:rPr>
            <w:rStyle w:val="Hyperlink"/>
            <w:rFonts w:ascii="Times New Roman" w:hAnsi="Times New Roman"/>
            <w:b w:val="false"/>
            <w:i w:val="false"/>
            <w:color w:val="000000"/>
            <w:sz w:val="22"/>
          </w:rPr>
          <w:t>6.4(2)</w:t>
        </w:r>
      </w:hyperlink>
      <w:r>
        <w:rPr>
          <w:rFonts w:ascii="Times New Roman" w:hAnsi="Times New Roman"/>
          <w:b w:val="false"/>
          <w:i w:val="false"/>
          <w:color w:val="000000"/>
          <w:sz w:val="22"/>
        </w:rPr>
        <w:t xml:space="preserv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board may release statistical information that does not identify particular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board may disclose information to the department of corrections; public officials for use in connection with their duties relating to law enforcement, audits, and other purposes directly connected with the administration of their programs; and public and private agencies providing services to individuals. Those receiving information are subject to the same standards as the board in dissemination and redissemination of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board may disclose information when necessary for civil or criminal court proceedings pursuant to court order. The board may seek to have the court limit disclosure of confidential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board will give a supervised individual or former supervised individual access to the individual’s own records in the custody of the board, except for those records that could result in physical or psychological harm to the individual or others, and disciplinary reports. Upon written authorization by a supervised individual or former supervised individual, the board may release information to any party included in the written release. This information is restricted to that which the individual can obtain.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8438C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1">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and sections </w:t>
      </w:r>
      <w:hyperlink r:id="rId12">
        <w:r>
          <w:rPr>
            <w:rStyle w:val="Hyperlink"/>
            <w:rFonts w:ascii="Times New Roman" w:hAnsi="Times New Roman"/>
            <w:b w:val="false"/>
            <w:i w:val="false"/>
            <w:color w:val="000000"/>
            <w:sz w:val="22"/>
          </w:rPr>
          <w:t>904.601</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904.602</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904A.4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2/6/89, Notice 12/28/88—published 2/22/89, effective 3/29/89]</w:t>
      </w:r>
    </w:p>
    <w:p>
      <w:pPr>
        <w:spacing w:before="0" w:after="0"/>
        <w:ind w:left="120"/>
        <w:jc w:val="center"/>
      </w:pPr>
      <w:r>
        <w:rPr>
          <w:rFonts w:ascii="Times New Roman" w:hAnsi="Times New Roman"/>
          <w:b w:val="false"/>
          <w:i w:val="false"/>
          <w:color w:val="000000"/>
          <w:sz w:val="21"/>
        </w:rPr>
        <w:t>[Filed 5/14/99, Notice 3/24/99—published 6/2/99, effective 7/7/99]</w:t>
      </w:r>
    </w:p>
    <w:p>
      <w:pPr>
        <w:spacing w:before="0" w:after="0"/>
        <w:ind w:left="120"/>
        <w:jc w:val="center"/>
      </w:pPr>
      <w:r>
        <w:rPr>
          <w:rFonts w:ascii="Times New Roman" w:hAnsi="Times New Roman"/>
          <w:b w:val="false"/>
          <w:i w:val="false"/>
          <w:color w:val="000000"/>
          <w:sz w:val="21"/>
        </w:rPr>
        <w:t>[Filed 6/4/04, Notice 4/28/04—published 6/23/04, effective 7/28/04]</w:t>
      </w:r>
    </w:p>
    <w:p>
      <w:pPr>
        <w:spacing w:before="0" w:after="0"/>
        <w:ind w:left="120"/>
        <w:jc w:val="center"/>
      </w:pPr>
      <w:r>
        <w:rPr>
          <w:rFonts w:ascii="Times New Roman" w:hAnsi="Times New Roman"/>
          <w:b w:val="false"/>
          <w:i w:val="false"/>
          <w:color w:val="000000"/>
          <w:sz w:val="21"/>
        </w:rPr>
        <w:t>[Filed ARC 3297C</w:t>
      </w:r>
      <w:r>
        <w:rPr>
          <w:rFonts w:ascii="Times New Roman" w:hAnsi="Times New Roman"/>
          <w:b w:val="false"/>
          <w:i w:val="false"/>
          <w:color w:val="000000"/>
          <w:sz w:val="21"/>
        </w:rPr>
        <w:t xml:space="preserve"> (Notice ARC 3117C, IAB 6/21/17)</w:t>
      </w:r>
      <w:r>
        <w:rPr>
          <w:rFonts w:ascii="Times New Roman" w:hAnsi="Times New Roman"/>
          <w:b w:val="false"/>
          <w:i w:val="false"/>
          <w:color w:val="000000"/>
          <w:sz w:val="21"/>
        </w:rPr>
        <w:t>, IAB 8/30/17, effective 10/4/17]</w:t>
      </w:r>
    </w:p>
    <w:p>
      <w:pPr>
        <w:spacing w:before="0" w:after="0"/>
        <w:ind w:left="120"/>
        <w:jc w:val="center"/>
      </w:pPr>
      <w:r>
        <w:rPr>
          <w:rFonts w:ascii="Times New Roman" w:hAnsi="Times New Roman"/>
          <w:b w:val="false"/>
          <w:i w:val="false"/>
          <w:color w:val="000000"/>
          <w:sz w:val="21"/>
        </w:rPr>
        <w:t>[Filed ARC 6968C</w:t>
      </w:r>
      <w:r>
        <w:rPr>
          <w:rFonts w:ascii="Times New Roman" w:hAnsi="Times New Roman"/>
          <w:b w:val="false"/>
          <w:i w:val="false"/>
          <w:color w:val="000000"/>
          <w:sz w:val="21"/>
        </w:rPr>
        <w:t xml:space="preserve"> (Notice ARC 6824C, IAB 1/11/23)</w:t>
      </w:r>
      <w:r>
        <w:rPr>
          <w:rFonts w:ascii="Times New Roman" w:hAnsi="Times New Roman"/>
          <w:b w:val="false"/>
          <w:i w:val="false"/>
          <w:color w:val="000000"/>
          <w:sz w:val="21"/>
        </w:rPr>
        <w:t>, IAB 4/5/23, effective 5/10/23]</w:t>
      </w:r>
    </w:p>
    <w:p>
      <w:pPr>
        <w:spacing w:before="0" w:after="0"/>
        <w:ind w:left="120"/>
        <w:jc w:val="center"/>
      </w:pPr>
      <w:r>
        <w:rPr>
          <w:rFonts w:ascii="Times New Roman" w:hAnsi="Times New Roman"/>
          <w:b w:val="false"/>
          <w:i w:val="false"/>
          <w:color w:val="000000"/>
          <w:sz w:val="21"/>
        </w:rPr>
        <w:t>[Filed ARC 8438C</w:t>
      </w:r>
      <w:r>
        <w:rPr>
          <w:rFonts w:ascii="Times New Roman" w:hAnsi="Times New Roman"/>
          <w:b w:val="false"/>
          <w:i w:val="false"/>
          <w:color w:val="000000"/>
          <w:sz w:val="21"/>
        </w:rPr>
        <w:t xml:space="preserve"> (Notice ARC 8211C, IAB 9/18/24)</w:t>
      </w:r>
      <w:r>
        <w:rPr>
          <w:rFonts w:ascii="Times New Roman" w:hAnsi="Times New Roman"/>
          <w:b w:val="false"/>
          <w:i w:val="false"/>
          <w:color w:val="000000"/>
          <w:sz w:val="21"/>
        </w:rPr>
        <w:t>, IAB 12/11/24, effective 1/15/25]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915.pdf" Type="http://schemas.openxmlformats.org/officeDocument/2006/relationships/hyperlink" Id="rId4"/>
    <Relationship TargetMode="External" Target="https://www.legis.iowa.gov/docs/ico/chapter/22.pdf" Type="http://schemas.openxmlformats.org/officeDocument/2006/relationships/hyperlink" Id="rId5"/>
    <Relationship TargetMode="External" Target="https://www.legis.iowa.gov/docs/iac/rule/205.5.3.pdf" Type="http://schemas.openxmlformats.org/officeDocument/2006/relationships/hyperlink" Id="rId6"/>
    <Relationship TargetMode="External" Target="https://www.legis.iowa.gov/docs/ico/chapter/904.pdf" Type="http://schemas.openxmlformats.org/officeDocument/2006/relationships/hyperlink" Id="rId7"/>
    <Relationship TargetMode="External" Target="https://www.legis.iowa.gov/docs/ico/chapter/904.pdf" Type="http://schemas.openxmlformats.org/officeDocument/2006/relationships/hyperlink" Id="rId8"/>
    <Relationship TargetMode="External" Target="https://www.legis.iowa.gov/docs/iac/chapter/205.7.pdf" Type="http://schemas.openxmlformats.org/officeDocument/2006/relationships/hyperlink" Id="rId9"/>
    <Relationship TargetMode="External" Target="https://www.legis.iowa.gov/docs/iac/rule/205.6.4.pdf" Type="http://schemas.openxmlformats.org/officeDocument/2006/relationships/hyperlink" Id="rId10"/>
    <Relationship TargetMode="External" Target="https://www.legis.iowa.gov/docs/ico/chapter/22.pdf" Type="http://schemas.openxmlformats.org/officeDocument/2006/relationships/hyperlink" Id="rId11"/>
    <Relationship TargetMode="External" Target="https://www.legis.iowa.gov/docs/ico/chapter/904.pdf" Type="http://schemas.openxmlformats.org/officeDocument/2006/relationships/hyperlink" Id="rId12"/>
    <Relationship TargetMode="External" Target="https://www.legis.iowa.gov/docs/ico/chapter/904.pdf" Type="http://schemas.openxmlformats.org/officeDocument/2006/relationships/hyperlink" Id="rId13"/>
    <Relationship TargetMode="External" Target="https://www.legis.iowa.gov/docs/ico/chapter/904A.pdf" Type="http://schemas.openxmlformats.org/officeDocument/2006/relationships/hyperlink"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