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APPEAL OF DECISIONS</w:t>
      </w:r>
    </w:p>
    <w:p>
      <w:pPr>
        <w:spacing w:before="0" w:after="0"/>
        <w:ind w:left="120"/>
        <w:jc w:val="center"/>
      </w:pPr>
      <w:r>
        <w:rPr>
          <w:rFonts w:ascii="Times New Roman" w:hAnsi="Times New Roman"/>
          <w:b w:val="false"/>
          <w:i w:val="false"/>
          <w:color w:val="000000"/>
          <w:sz w:val="14"/>
        </w:rPr>
        <w:t>[Prior to 2/22/89, Parole, Board of[615] Ch 9]</w:t>
      </w:r>
    </w:p>
    <w:p>
      <w:pPr>
        <w:spacing w:before="0" w:after="0"/>
        <w:ind w:left="120"/>
        <w:jc w:val="center"/>
      </w:pPr>
      <w:r>
        <w:rPr>
          <w:rFonts w:ascii="Times New Roman" w:hAnsi="Times New Roman"/>
          <w:b w:val="false"/>
          <w:i w:val="false"/>
          <w:color w:val="000000"/>
          <w:sz w:val="14"/>
        </w:rPr>
        <w:t>[Prior to 4/5/23, see 201—Chapter 15]</w:t>
      </w:r>
    </w:p>
    <w:p>
      <w:pPr>
        <w:spacing w:before="0" w:after="0"/>
        <w:ind w:left="120"/>
        <w:jc w:val="both"/>
      </w:pPr>
      <w:r>
        <w:rPr>
          <w:rFonts w:ascii="Times New Roman" w:hAnsi="Times New Roman"/>
          <w:b/>
          <w:i w:val="false"/>
          <w:color w:val="000000"/>
          <w:sz w:val="22"/>
        </w:rPr>
        <w:t>205—14.1</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w:t>
      </w:r>
      <w:r>
        <w:rPr>
          <w:rFonts w:ascii="Times New Roman" w:hAnsi="Times New Roman"/>
          <w:b w:val="false"/>
          <w:i w:val="false"/>
          <w:color w:val="000000"/>
          <w:sz w:val="22"/>
        </w:rPr>
        <w:t>An inmate, parolee, or work releasee may appeal any action of the board staff or board that affects that person except a decision to schedule a hearing or a work release transfer hearing decision, any commutation-related action, an appeal decision, or the decision to conduct an appearance by electronic means.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8446C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205—14.2</w:t>
      </w:r>
      <w:r>
        <w:rPr>
          <w:rFonts w:ascii="Times New Roman" w:hAnsi="Times New Roman"/>
          <w:b/>
          <w:i w:val="false"/>
          <w:color w:val="000000"/>
          <w:sz w:val="22"/>
        </w:rPr>
        <w:t xml:space="preserve">(17A) </w:t>
      </w:r>
      <w:r>
        <w:rPr>
          <w:rFonts w:ascii="Times New Roman" w:hAnsi="Times New Roman"/>
          <w:b/>
          <w:i w:val="false"/>
          <w:color w:val="000000"/>
          <w:sz w:val="22"/>
        </w:rPr>
        <w:t xml:space="preserve">Grounds. </w:t>
      </w:r>
      <w:r>
        <w:rPr>
          <w:rFonts w:ascii="Times New Roman" w:hAnsi="Times New Roman"/>
          <w:b w:val="false"/>
          <w:i w:val="false"/>
          <w:color w:val="000000"/>
          <w:sz w:val="22"/>
        </w:rPr>
        <w:t>The general grounds for an appeal are claims that an action of the board staff or board was: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violation of constitutional or statutory provisions;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excess of the statutory authority of the board;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 violation of a board rule;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Made upon unlawful procedure;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Affected by other error of law;</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Unsupported by evidence or based on incorrect or incomplete information that, if correct or complete, might have resulted in a different action;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Unreasonable, arbitrary, or capricious or characterized by an abuse of discretion or a clearly unwarranted exercise of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8446C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205—14.3</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an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val="false"/>
          <w:color w:val="000000"/>
          <w:sz w:val="22"/>
        </w:rPr>
        <w:t>An appeal is filed in writing and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board action that is the subject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particular agency action that is the subject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grounds on which relief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val="false"/>
          <w:color w:val="000000"/>
          <w:sz w:val="22"/>
        </w:rPr>
        <w:t>All grounds should be included in the same appeal, and all necessary documents and information will be attached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w:t>
      </w:r>
      <w:r>
        <w:rPr>
          <w:rFonts w:ascii="Times New Roman" w:hAnsi="Times New Roman"/>
          <w:b w:val="false"/>
          <w:i w:val="false"/>
          <w:color w:val="000000"/>
          <w:sz w:val="22"/>
        </w:rPr>
        <w:t> </w:t>
      </w:r>
      <w:r>
        <w:rPr>
          <w:rFonts w:ascii="Times New Roman" w:hAnsi="Times New Roman"/>
          <w:b w:val="false"/>
          <w:i w:val="false"/>
          <w:color w:val="000000"/>
          <w:sz w:val="22"/>
        </w:rPr>
        <w:t>The appeal is submitted to the business office. An appeal is received at the parole board office, or postmarked, within ten days of the receipt of notice of the action appealed. The board is not required to consider untimely appeals.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8446C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205—14.4</w:t>
      </w:r>
      <w:r>
        <w:rPr>
          <w:rFonts w:ascii="Times New Roman" w:hAnsi="Times New Roman"/>
          <w:b/>
          <w:i w:val="false"/>
          <w:color w:val="000000"/>
          <w:sz w:val="22"/>
        </w:rPr>
        <w:t xml:space="preserve">(17A) </w:t>
      </w:r>
      <w:r>
        <w:rPr>
          <w:rFonts w:ascii="Times New Roman" w:hAnsi="Times New Roman"/>
          <w:b/>
          <w:i w:val="false"/>
          <w:color w:val="000000"/>
          <w:sz w:val="22"/>
        </w:rPr>
        <w:t xml:space="preserve">Board review and decision. </w:t>
      </w:r>
      <w:r>
        <w:rPr>
          <w:rFonts w:ascii="Times New Roman" w:hAnsi="Times New Roman"/>
          <w:b w:val="false"/>
          <w:i w:val="false"/>
          <w:color w:val="000000"/>
          <w:sz w:val="22"/>
        </w:rPr>
        <w:t>The board of parole, a designee of the board, or a panel of three or more members of the board will review the appeal. The chairperson, the chairperson’s designee, or the panel may affirm, modify, or reverse the action being appealed or may defer the action for further consideration, including granting the inmate, parolee, or work releasee an appearance before the board. The board will give notice to the inmate, parolee, or work releasee of the board’s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8446C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7/26/76, Notice 1/26/76—published 8/9/76, effective 9/13/76]</w:t>
      </w:r>
    </w:p>
    <w:p>
      <w:pPr>
        <w:spacing w:before="0" w:after="0"/>
        <w:ind w:left="120"/>
        <w:jc w:val="center"/>
      </w:pPr>
      <w:r>
        <w:rPr>
          <w:rFonts w:ascii="Times New Roman" w:hAnsi="Times New Roman"/>
          <w:b w:val="false"/>
          <w:i w:val="false"/>
          <w:color w:val="000000"/>
          <w:sz w:val="21"/>
        </w:rPr>
        <w:t>[Filed 2/7/79, Notices 10/4/78, 11/1/78—published 3/7/79, effective 4/11/79]</w:t>
      </w:r>
    </w:p>
    <w:p>
      <w:pPr>
        <w:spacing w:before="0" w:after="0"/>
        <w:ind w:left="120"/>
        <w:jc w:val="center"/>
      </w:pPr>
      <w:r>
        <w:rPr>
          <w:rFonts w:ascii="Times New Roman" w:hAnsi="Times New Roman"/>
          <w:b w:val="false"/>
          <w:i w:val="false"/>
          <w:color w:val="000000"/>
          <w:sz w:val="21"/>
        </w:rPr>
        <w:t>[Filed 9/23/82, Notice 7/7/82—published 10/13/82, effective 11/19/82]</w:t>
      </w:r>
    </w:p>
    <w:p>
      <w:pPr>
        <w:spacing w:before="0" w:after="0"/>
        <w:ind w:left="120"/>
        <w:jc w:val="center"/>
      </w:pPr>
      <w:r>
        <w:rPr>
          <w:rFonts w:ascii="Times New Roman" w:hAnsi="Times New Roman"/>
          <w:b w:val="false"/>
          <w:i w:val="false"/>
          <w:color w:val="000000"/>
          <w:sz w:val="21"/>
        </w:rPr>
        <w:t>[Filed 2/6/89, Notice 12/28/88—published 2/22/89, effective 3/29/89]</w:t>
      </w:r>
    </w:p>
    <w:p>
      <w:pPr>
        <w:spacing w:before="0" w:after="0"/>
        <w:ind w:left="120"/>
        <w:jc w:val="center"/>
      </w:pPr>
      <w:r>
        <w:rPr>
          <w:rFonts w:ascii="Times New Roman" w:hAnsi="Times New Roman"/>
          <w:b w:val="false"/>
          <w:i w:val="false"/>
          <w:color w:val="000000"/>
          <w:sz w:val="21"/>
        </w:rPr>
        <w:t>[Filed emergency 7/3/97—published 7/30/97, effective 7/3/97]</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6/4/04, Notice 4/28/04—published 6/23/04, effective 7/28/04]</w:t>
      </w:r>
    </w:p>
    <w:p>
      <w:pPr>
        <w:spacing w:before="0" w:after="0"/>
        <w:ind w:left="120"/>
        <w:jc w:val="center"/>
      </w:pPr>
      <w:r>
        <w:rPr>
          <w:rFonts w:ascii="Times New Roman" w:hAnsi="Times New Roman"/>
          <w:b w:val="false"/>
          <w:i w:val="false"/>
          <w:color w:val="000000"/>
          <w:sz w:val="21"/>
        </w:rPr>
        <w:t>[Filed ARC 3297C</w:t>
      </w:r>
      <w:r>
        <w:rPr>
          <w:rFonts w:ascii="Times New Roman" w:hAnsi="Times New Roman"/>
          <w:b w:val="false"/>
          <w:i w:val="false"/>
          <w:color w:val="000000"/>
          <w:sz w:val="21"/>
        </w:rPr>
        <w:t xml:space="preserve"> (Notice ARC 3117C,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6968C</w:t>
      </w:r>
      <w:r>
        <w:rPr>
          <w:rFonts w:ascii="Times New Roman" w:hAnsi="Times New Roman"/>
          <w:b w:val="false"/>
          <w:i w:val="false"/>
          <w:color w:val="000000"/>
          <w:sz w:val="21"/>
        </w:rPr>
        <w:t xml:space="preserve"> (Notice ARC 6824C,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8446C</w:t>
      </w:r>
      <w:r>
        <w:rPr>
          <w:rFonts w:ascii="Times New Roman" w:hAnsi="Times New Roman"/>
          <w:b w:val="false"/>
          <w:i w:val="false"/>
          <w:color w:val="000000"/>
          <w:sz w:val="21"/>
        </w:rPr>
        <w:t xml:space="preserve"> (Notice ARC 8184C, IAB 8/7/24)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