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EXECUTIVE CLEMENCY</w:t>
      </w:r>
    </w:p>
    <w:p>
      <w:pPr>
        <w:spacing w:before="0" w:after="0"/>
        <w:ind w:left="120"/>
        <w:jc w:val="center"/>
      </w:pPr>
      <w:r>
        <w:rPr>
          <w:rFonts w:ascii="Times New Roman" w:hAnsi="Times New Roman"/>
          <w:b w:val="false"/>
          <w:i w:val="false"/>
          <w:color w:val="000000"/>
          <w:sz w:val="14"/>
        </w:rPr>
        <w:t>[615—Ch 14 transferred to 205—Ch 5, IAB 2/22/89]</w:t>
      </w:r>
    </w:p>
    <w:p>
      <w:pPr>
        <w:spacing w:before="0" w:after="0"/>
        <w:ind w:left="120"/>
        <w:jc w:val="center"/>
      </w:pPr>
      <w:r>
        <w:rPr>
          <w:rFonts w:ascii="Times New Roman" w:hAnsi="Times New Roman"/>
          <w:b w:val="false"/>
          <w:i w:val="false"/>
          <w:color w:val="000000"/>
          <w:sz w:val="14"/>
        </w:rPr>
        <w:t>[Prior to 4/5/23, see 201—Chapter 14]</w:t>
      </w:r>
    </w:p>
    <w:p>
      <w:pPr>
        <w:spacing w:before="0" w:after="0"/>
        <w:ind w:left="120"/>
        <w:jc w:val="both"/>
      </w:pPr>
      <w:r>
        <w:rPr>
          <w:rFonts w:ascii="Times New Roman" w:hAnsi="Times New Roman"/>
          <w:b/>
          <w:i w:val="false"/>
          <w:color w:val="000000"/>
          <w:sz w:val="22"/>
        </w:rPr>
        <w:t>205—13.1</w:t>
      </w:r>
      <w:r>
        <w:rPr>
          <w:rFonts w:ascii="Times New Roman" w:hAnsi="Times New Roman"/>
          <w:b/>
          <w:i w:val="false"/>
          <w:color w:val="000000"/>
          <w:sz w:val="22"/>
        </w:rPr>
        <w:t xml:space="preserve">(902) </w:t>
      </w:r>
      <w:r>
        <w:rPr>
          <w:rFonts w:ascii="Times New Roman" w:hAnsi="Times New Roman"/>
          <w:b/>
          <w:i w:val="false"/>
          <w:color w:val="000000"/>
          <w:sz w:val="22"/>
        </w:rPr>
        <w:t xml:space="preserve">Interviews of inmates serving life terms without the possibility of parole. </w:t>
      </w:r>
      <w:r>
        <w:rPr>
          <w:rFonts w:ascii="Times New Roman" w:hAnsi="Times New Roman"/>
          <w:b w:val="false"/>
          <w:i w:val="false"/>
          <w:color w:val="000000"/>
          <w:sz w:val="22"/>
        </w:rPr>
        <w:t>The board will not grant a parole or work release to a class “A” felon serving a life term without the possibility of parole unless the governor commutes the sentence to a term of years. Administrative rules relating to the parole and work release consideration of an inmate sentenced to an indeterminate term do not apply to an inmate sentenced to a life term without the possibility of parole.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205—13.2</w:t>
      </w:r>
      <w:r>
        <w:rPr>
          <w:rFonts w:ascii="Times New Roman" w:hAnsi="Times New Roman"/>
          <w:b/>
          <w:i w:val="false"/>
          <w:color w:val="000000"/>
          <w:sz w:val="22"/>
        </w:rPr>
        <w:t xml:space="preserve">(902) </w:t>
      </w:r>
      <w:r>
        <w:rPr>
          <w:rFonts w:ascii="Times New Roman" w:hAnsi="Times New Roman"/>
          <w:b/>
          <w:i w:val="false"/>
          <w:color w:val="000000"/>
          <w:sz w:val="22"/>
        </w:rPr>
        <w:t xml:space="preserve">Review of inmates serving life terms. </w:t>
      </w:r>
      <w:r>
        <w:rPr>
          <w:rFonts w:ascii="Times New Roman" w:hAnsi="Times New Roman"/>
          <w:b w:val="false"/>
          <w:i w:val="false"/>
          <w:color w:val="000000"/>
          <w:sz w:val="22"/>
        </w:rPr>
        <w:t>The board may, at its discretion, review the record of a class “A” felon serving a life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205—13.3</w:t>
      </w:r>
      <w:r>
        <w:rPr>
          <w:rFonts w:ascii="Times New Roman" w:hAnsi="Times New Roman"/>
          <w:b/>
          <w:i w:val="false"/>
          <w:color w:val="000000"/>
          <w:sz w:val="22"/>
        </w:rPr>
        <w:t xml:space="preserve">(914) </w:t>
      </w:r>
      <w:r>
        <w:rPr>
          <w:rFonts w:ascii="Times New Roman" w:hAnsi="Times New Roman"/>
          <w:b/>
          <w:i w:val="false"/>
          <w:color w:val="000000"/>
          <w:sz w:val="22"/>
        </w:rPr>
        <w:t xml:space="preserve">Executive clemency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Applications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convicted of a criminal offense may apply to the board for a recommendation to the governor for a reprieve, pardon, commutation of sentence, or remission of fines and forfeitures at any time following the person’s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for a pardon or commutation of sentence should be on the form provided by the board. The form may be obtained by contacting the board’s business office or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application for a reprieve or remission of fines and forfeitures should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submit the executive clemency application to the board’s business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Applications to the governor. </w:t>
      </w:r>
      <w:r>
        <w:rPr>
          <w:rFonts w:ascii="Times New Roman" w:hAnsi="Times New Roman"/>
          <w:b w:val="false"/>
          <w:i w:val="false"/>
          <w:color w:val="000000"/>
          <w:sz w:val="22"/>
        </w:rPr>
        <w:t>Upon the request of the governor, the board will take charge of all correspondence in reference to an executive clemency application filed with the governor and will provide the governor with the board’s advice and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color w:val="000000"/>
          <w:sz w:val="22"/>
        </w:rPr>
        <w:t xml:space="preserve">Restoration of citizenship.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convicted of a criminal offense may apply for restoration of citizenship at any time following the discharge of the person’s sentence.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applying for restoration of citizenship will submit the form to the governor. This form may be obtained from the governor’s office or from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205—13.4</w:t>
      </w:r>
      <w:r>
        <w:rPr>
          <w:rFonts w:ascii="Times New Roman" w:hAnsi="Times New Roman"/>
          <w:b/>
          <w:i w:val="false"/>
          <w:color w:val="000000"/>
          <w:sz w:val="22"/>
        </w:rPr>
        <w:t xml:space="preserve">(914,902) </w:t>
      </w:r>
      <w:r>
        <w:rPr>
          <w:rFonts w:ascii="Times New Roman" w:hAnsi="Times New Roman"/>
          <w:b/>
          <w:i w:val="false"/>
          <w:color w:val="000000"/>
          <w:sz w:val="22"/>
        </w:rPr>
        <w:t xml:space="preserve">Board investigation. </w:t>
      </w:r>
      <w:r>
        <w:rPr>
          <w:rFonts w:ascii="Times New Roman" w:hAnsi="Times New Roman"/>
          <w:b w:val="false"/>
          <w:i w:val="false"/>
          <w:color w:val="000000"/>
          <w:sz w:val="22"/>
        </w:rPr>
        <w:t>The board may investigate an application with respect to history, current situation, parole prospects and other pertinent matters. The board may consider the application or recommendation, transcripts of judicial proceedings and all documents submitted with the application, and other documents as the board determines is appropriate, and may interview, directly or through the board’s agent, public officials, victims, and witnesses and other individuals as the board determines is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205—13.5</w:t>
      </w:r>
      <w:r>
        <w:rPr>
          <w:rFonts w:ascii="Times New Roman" w:hAnsi="Times New Roman"/>
          <w:b/>
          <w:i w:val="false"/>
          <w:color w:val="000000"/>
          <w:sz w:val="22"/>
        </w:rPr>
        <w:t xml:space="preserve">(914,902) </w:t>
      </w:r>
      <w:r>
        <w:rPr>
          <w:rFonts w:ascii="Times New Roman" w:hAnsi="Times New Roman"/>
          <w:b/>
          <w:i w:val="false"/>
          <w:color w:val="000000"/>
          <w:sz w:val="22"/>
        </w:rPr>
        <w:t xml:space="preserve">Executive clemency recommendations.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recommend that the governor grant commutation of sentence to a class “A” felon serving a life term when the board agrees that the inmate should be considered for release on parole.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shall recommend that the governor grant executive clemency to a person other than a class “A” felon serving a life term when the board agrees that the person has demonstrated that the person will become or continue to be a law-abiding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utilize the resources of the department of public safety for assistance with any part of the board’s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Notice of board recommendation. </w:t>
      </w:r>
      <w:r>
        <w:rPr>
          <w:rFonts w:ascii="Times New Roman" w:hAnsi="Times New Roman"/>
          <w:b w:val="false"/>
          <w:i w:val="false"/>
          <w:color w:val="000000"/>
          <w:sz w:val="22"/>
        </w:rPr>
        <w:t>The board will give notice of an executive clemency recommendation to the office of the governor and, if requested, to the inmate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color w:val="000000"/>
          <w:sz w:val="22"/>
        </w:rPr>
        <w:t xml:space="preserve">Board consideration following commutation. </w:t>
      </w:r>
      <w:r>
        <w:rPr>
          <w:rFonts w:ascii="Times New Roman" w:hAnsi="Times New Roman"/>
          <w:b w:val="false"/>
          <w:i w:val="false"/>
          <w:color w:val="000000"/>
          <w:sz w:val="22"/>
        </w:rPr>
        <w:t>The board will consider the parole and work release prospects of an inmate whose sentence has been commuted by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w:t>
      </w:r>
      <w:r>
        <w:rPr>
          <w:rFonts w:ascii="Times New Roman" w:hAnsi="Times New Roman"/>
          <w:b w:val="false"/>
          <w:i w:val="false"/>
          <w:color w:val="000000"/>
          <w:sz w:val="22"/>
        </w:rPr>
        <w:t> </w:t>
      </w:r>
      <w:r>
        <w:rPr>
          <w:rFonts w:ascii="Times New Roman" w:hAnsi="Times New Roman"/>
          <w:b w:val="false"/>
          <w:i/>
          <w:color w:val="000000"/>
          <w:sz w:val="22"/>
        </w:rPr>
        <w:t xml:space="preserve">Executive clemency reconsiderations.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reconsider a positive or negative recommendation prior to the governor’s decision when previously unknown and material information comes to light, material actions or events relevant to the application occur, the governor directs the board to further investigate the application, or good cause is otherwise shown. The procedures for reviewing an executive clemency application shall apply to the reconsideration of a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amend its recommendation as deemed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205—13.6</w:t>
      </w:r>
      <w:r>
        <w:rPr>
          <w:rFonts w:ascii="Times New Roman" w:hAnsi="Times New Roman"/>
          <w:b/>
          <w:i w:val="false"/>
          <w:color w:val="000000"/>
          <w:sz w:val="22"/>
        </w:rPr>
        <w:t xml:space="preserve">(902,915) </w:t>
      </w:r>
      <w:r>
        <w:rPr>
          <w:rFonts w:ascii="Times New Roman" w:hAnsi="Times New Roman"/>
          <w:b/>
          <w:i w:val="false"/>
          <w:color w:val="000000"/>
          <w:sz w:val="22"/>
        </w:rPr>
        <w:t xml:space="preserve">Commutation procedure for class “A” felons.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color w:val="000000"/>
          <w:sz w:val="22"/>
        </w:rPr>
        <w:t xml:space="preserve">Initial review. </w:t>
      </w:r>
      <w:r>
        <w:rPr>
          <w:rFonts w:ascii="Times New Roman" w:hAnsi="Times New Roman"/>
          <w:b w:val="false"/>
          <w:i w:val="false"/>
          <w:color w:val="000000"/>
          <w:sz w:val="22"/>
        </w:rPr>
        <w:t xml:space="preserve">The board, or its designee, will initially review an application for commutation to determine whether the inmate is eligible to apply for commutation pursuant to Iowa Code section </w:t>
      </w:r>
      <w:hyperlink r:id="rId4">
        <w:r>
          <w:rPr>
            <w:rStyle w:val="Hyperlink"/>
            <w:rFonts w:ascii="Times New Roman" w:hAnsi="Times New Roman"/>
            <w:b w:val="false"/>
            <w:i w:val="false"/>
            <w:color w:val="000000"/>
            <w:sz w:val="22"/>
          </w:rPr>
          <w:t>902.2</w:t>
        </w:r>
      </w:hyperlink>
      <w:r>
        <w:rPr>
          <w:rFonts w:ascii="Times New Roman" w:hAnsi="Times New Roman"/>
          <w:b w:val="false"/>
          <w:i w:val="false"/>
          <w:color w:val="000000"/>
          <w:sz w:val="22"/>
        </w:rPr>
        <w:t>. If the inmate is not eligible to apply for commutation, the board will return the application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color w:val="000000"/>
          <w:sz w:val="22"/>
        </w:rPr>
        <w:t xml:space="preserve">Parole board commutation investigation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eligible to apply for commutation, the board will conduct an investigation pursuant to subrule </w:t>
      </w:r>
      <w:hyperlink r:id="rId5">
        <w:r>
          <w:rPr>
            <w:rStyle w:val="Hyperlink"/>
            <w:rFonts w:ascii="Times New Roman" w:hAnsi="Times New Roman"/>
            <w:b w:val="false"/>
            <w:i w:val="false"/>
            <w:color w:val="000000"/>
            <w:sz w:val="22"/>
          </w:rPr>
          <w:t>13.6(2)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consider any documents the board deems appropriate, including but not limited to the application and attached documents; transcripts of judicial proceedings; corrections information; and written recommendations, statements, and interviews of the offender, public officials, victims, and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interview the applicant prior to submitting the board’s recommendation to the governor. The board may interview any other person the board deems appropriate, including but not limited to public officials, victims, and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will attempt to provide notice of the commutation interview to any individual who would qualify as a victim under Iowa’s victim notification law. Notice will be by regular mail to the last-known address or by electronic mail. The notice will provide a specified amount of time for the victim to provide a statement to the board regarding the application for commutation.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may hold a public hearing to receive comments from the general public on an application for commutation. The determination to hold a public hearing to receive public comments is solely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color w:val="000000"/>
          <w:sz w:val="22"/>
        </w:rPr>
        <w:t xml:space="preserve">Recommendation and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decision to recommend commutation for a class “A” felon will be by majority vote. The board may continue the matter until such time as the board may determine by majority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consider any factor it deems appropriate when considering commutation, including but not limited to the nature and circumstances of the crime, the number of years the applicant has served, the applicant’s previous criminal record, the applicant’s conduct while confined, the impact on the victim, and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will prepare a written report of its findings and recommendations and forward its report to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making such a recommendation, the board will also indicate the existence of any registered victims and communicate any opinions expressed by those victims regarding release of the inmate.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w:t>
      </w:r>
      <w:r>
        <w:rPr>
          <w:rFonts w:ascii="Times New Roman" w:hAnsi="Times New Roman"/>
          <w:b w:val="false"/>
          <w:i w:val="false"/>
          <w:color w:val="000000"/>
          <w:sz w:val="22"/>
        </w:rPr>
        <w:t> </w:t>
      </w:r>
      <w:r>
        <w:rPr>
          <w:rFonts w:ascii="Times New Roman" w:hAnsi="Times New Roman"/>
          <w:b w:val="false"/>
          <w:i/>
          <w:color w:val="000000"/>
          <w:sz w:val="22"/>
        </w:rPr>
        <w:t xml:space="preserve">Board consideration following commutation. </w:t>
      </w:r>
      <w:r>
        <w:rPr>
          <w:rFonts w:ascii="Times New Roman" w:hAnsi="Times New Roman"/>
          <w:b w:val="false"/>
          <w:i w:val="false"/>
          <w:color w:val="000000"/>
          <w:sz w:val="22"/>
        </w:rPr>
        <w:t xml:space="preserve">The board will consider the parole and work release prospects of any inmate whose life sentence has been commuted by the governor. The grant of commutation does not require the board to grant parole or work release. The board will consider parole or work release pursuant to the standards in </w:t>
      </w:r>
      <w:hyperlink r:id="rId6">
        <w:r>
          <w:rPr>
            <w:rStyle w:val="Hyperlink"/>
            <w:rFonts w:ascii="Times New Roman" w:hAnsi="Times New Roman"/>
            <w:b w:val="false"/>
            <w:i w:val="false"/>
            <w:color w:val="000000"/>
            <w:sz w:val="22"/>
          </w:rPr>
          <w:t>205—Chapter 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902.2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902.4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904A.4(7)</w:t>
        </w:r>
      </w:hyperlink>
      <w:r>
        <w:rPr>
          <w:rFonts w:ascii="Times New Roman" w:hAnsi="Times New Roman"/>
          <w:b w:val="false"/>
          <w:i w:val="false"/>
          <w:color w:val="000000"/>
          <w:sz w:val="22"/>
        </w:rPr>
        <w:t xml:space="preserve"> and chapters </w:t>
      </w:r>
      <w:hyperlink r:id="rId10">
        <w:r>
          <w:rPr>
            <w:rStyle w:val="Hyperlink"/>
            <w:rFonts w:ascii="Times New Roman" w:hAnsi="Times New Roman"/>
            <w:b w:val="false"/>
            <w:i w:val="false"/>
            <w:color w:val="000000"/>
            <w:sz w:val="22"/>
          </w:rPr>
          <w:t>914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emergency 6/8/00—published 6/28/00, effective 6/8/00]</w:t>
      </w:r>
    </w:p>
    <w:p>
      <w:pPr>
        <w:spacing w:before="0" w:after="0"/>
        <w:ind w:left="120"/>
        <w:jc w:val="center"/>
      </w:pPr>
      <w:r>
        <w:rPr>
          <w:rFonts w:ascii="Times New Roman" w:hAnsi="Times New Roman"/>
          <w:b w:val="false"/>
          <w:i w:val="false"/>
          <w:color w:val="000000"/>
          <w:sz w:val="21"/>
        </w:rPr>
        <w:t>[Filed 9/12/00, Notice 6/28/00—published 10/4/00, effective 11/8/00]</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8445C</w:t>
      </w:r>
      <w:r>
        <w:rPr>
          <w:rFonts w:ascii="Times New Roman" w:hAnsi="Times New Roman"/>
          <w:b w:val="false"/>
          <w:i w:val="false"/>
          <w:color w:val="000000"/>
          <w:sz w:val="21"/>
        </w:rPr>
        <w:t xml:space="preserve"> (Notice ARC 8189C,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2.pdf" Type="http://schemas.openxmlformats.org/officeDocument/2006/relationships/hyperlink" Id="rId4"/>
    <Relationship TargetMode="External" Target="https://www.legis.iowa.gov/docs/iac/rule/205.13.6.pdf" Type="http://schemas.openxmlformats.org/officeDocument/2006/relationships/hyperlink" Id="rId5"/>
    <Relationship TargetMode="External" Target="https://www.legis.iowa.gov/docs/iac/chapter/205.8.pdf" Type="http://schemas.openxmlformats.org/officeDocument/2006/relationships/hyperlink" Id="rId6"/>
    <Relationship TargetMode="External" Target="https://www.legis.iowa.gov/docs/ico/chapter/902.pdf" Type="http://schemas.openxmlformats.org/officeDocument/2006/relationships/hyperlink" Id="rId7"/>
    <Relationship TargetMode="External" Target="https://www.legis.iowa.gov/docs/ico/chapter/902.pdf" Type="http://schemas.openxmlformats.org/officeDocument/2006/relationships/hyperlink" Id="rId8"/>
    <Relationship TargetMode="External" Target="https://www.legis.iowa.gov/docs/ico/chapter/904A.pdf" Type="http://schemas.openxmlformats.org/officeDocument/2006/relationships/hyperlink" Id="rId9"/>
    <Relationship TargetMode="External" Target="https://www.legis.iowa.gov/docs/ico/chapter/914.pdf" Type="http://schemas.openxmlformats.org/officeDocument/2006/relationships/hyperlink" Id="rId10"/>
    <Relationship TargetMode="External" Target="https://www.legis.iowa.gov/docs/ico/chapter/91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