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PRACTICE AND PROCEDURE</w:t>
      </w:r>
    </w:p>
    <w:p>
      <w:pPr>
        <w:spacing w:before="0" w:after="0"/>
        <w:ind w:left="120"/>
        <w:jc w:val="center"/>
      </w:pPr>
      <w:r>
        <w:rPr>
          <w:rFonts w:ascii="Times New Roman" w:hAnsi="Times New Roman"/>
          <w:b w:val="false"/>
          <w:i w:val="false"/>
          <w:color w:val="000000"/>
          <w:sz w:val="14"/>
        </w:rPr>
        <w:t>[Previously ch 15, renumbered 10/20/75 Supp.]</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199—7.1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rules in this chapter regarding filing, service, and the necessary number of copies apply to paper filings. The filing and service of electronically filed documents are governed by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commission has established additional procedural requirements in other chapters as described in subrules </w:t>
      </w:r>
      <w:hyperlink r:id="rId6">
        <w:r>
          <w:rPr>
            <w:rStyle w:val="Hyperlink"/>
            <w:rFonts w:ascii="Times New Roman" w:hAnsi="Times New Roman"/>
            <w:b w:val="false"/>
            <w:i w:val="false"/>
            <w:color w:val="000000"/>
            <w:sz w:val="22"/>
          </w:rPr>
          <w:t>7.1(2) through 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applicable only to rate cases, tariff filings, and rate regulation election by rural electric cooperatives are contained in </w:t>
      </w:r>
      <w:hyperlink r:id="rId7">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Notice of inquiry dockets and investigations. The commission may issue a notice of inquiry or open an investigation and establish a docket through which the inquiry or investigation can be processed. The procedural rules in this chapter apply to these dockets,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Reorganizations. Procedural rules applicable to reorganizations are included in rule </w:t>
      </w:r>
      <w:hyperlink r:id="rId8">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In the event the requirements in rule </w:t>
      </w:r>
      <w:hyperlink r:id="rId9">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conflict with the requirements in this chapter, the requirements in rule </w:t>
      </w:r>
      <w:hyperlink r:id="rId10">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are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Discontinuance of service incident to utility property transfer. This subrule does not apply to telecommunications service providers registered with the commission pursuant to Iowa Code section </w:t>
      </w:r>
      <w:hyperlink r:id="rId11">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discontinuance of utility service pursuant to Iowa Code section </w:t>
      </w:r>
      <w:hyperlink r:id="rId12">
        <w:r>
          <w:rPr>
            <w:rStyle w:val="Hyperlink"/>
            <w:rFonts w:ascii="Times New Roman" w:hAnsi="Times New Roman"/>
            <w:b w:val="false"/>
            <w:i w:val="false"/>
            <w:color w:val="000000"/>
            <w:sz w:val="22"/>
          </w:rPr>
          <w:t>476.20(1)</w:t>
        </w:r>
      </w:hyperlink>
      <w:r>
        <w:rPr>
          <w:rFonts w:ascii="Times New Roman" w:hAnsi="Times New Roman"/>
          <w:b w:val="false"/>
          <w:i w:val="false"/>
          <w:color w:val="000000"/>
          <w:sz w:val="22"/>
        </w:rPr>
        <w:t xml:space="preserve">, which includes the termination or transfer of the right and duty to provide utility service to a community or part of a community incident to the transfer, by sale or otherwise, except a stock transfer incident to corporate reorganization.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permission to discontinue service should include a summary of the relevant facts and the grounds upon which the application should be granted. When the discontinuance of service is incident to the transfer of utility property, a joint application will be filed by the transferor utility and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Within 30 days after an application is filed, the commission will approve the application or docket the application for further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Contested cases under paragraph </w:t>
      </w:r>
      <w:hyperlink r:id="rId13">
        <w:r>
          <w:rPr>
            <w:rStyle w:val="Hyperlink"/>
            <w:rFonts w:ascii="Times New Roman" w:hAnsi="Times New Roman"/>
            <w:b w:val="false"/>
            <w:i w:val="false"/>
            <w:color w:val="000000"/>
            <w:sz w:val="22"/>
          </w:rPr>
          <w:t>7.1(5)</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completed within four months after the date of docketing.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application will be granted if the commission finds the utility service is no longer necessary or if the commission finds the transferee is ready, willing, and able to provide comparable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facilitate the transaction of business before the commission and to promote the just resolution of controversies. Consistent with this purpose, the application of any of these rules, unless otherwise prescribed by law, may be waived by the commission or presiding officer pursuant to rule </w:t>
      </w:r>
      <w:hyperlink r:id="rId14">
        <w:r>
          <w:rPr>
            <w:rStyle w:val="Hyperlink"/>
            <w:rFonts w:ascii="Times New Roman" w:hAnsi="Times New Roman"/>
            <w:b w:val="false"/>
            <w:i w:val="false"/>
            <w:color w:val="000000"/>
            <w:sz w:val="22"/>
          </w:rPr>
          <w:t>199—1.3(17A,474,476)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Procedural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Procedural orders under this subrule will be issued only upon the showing of good cause and when the prejudice to a nonmoving party is not great. The procedural order under this subrule will state that it is issued pursuant to the delegation authority established in subrule </w:t>
      </w:r>
      <w:hyperlink r:id="rId15">
        <w:r>
          <w:rPr>
            <w:rStyle w:val="Hyperlink"/>
            <w:rFonts w:ascii="Times New Roman" w:hAnsi="Times New Roman"/>
            <w:b w:val="false"/>
            <w:i w:val="false"/>
            <w:color w:val="000000"/>
            <w:sz w:val="22"/>
          </w:rPr>
          <w:t>7.1(7)</w:t>
        </w:r>
      </w:hyperlink>
      <w:r>
        <w:rPr>
          <w:rFonts w:ascii="Times New Roman" w:hAnsi="Times New Roman"/>
          <w:b w:val="false"/>
          <w:i w:val="false"/>
          <w:color w:val="000000"/>
          <w:sz w:val="22"/>
        </w:rPr>
        <w:t xml:space="preserve"> and that the procedural order so issued is subject to review by the commission upon its own motion or upon motion by any party or other interested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 or a majority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 xml:space="preserve">means persons who complain to the commission of any act or thing done or omitted to be done in violation, or claimed to be in violation, of any provision of Iowa Code chapters </w:t>
      </w:r>
      <w:hyperlink r:id="rId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or of any order or rule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advocate” </w:t>
      </w:r>
      <w:r>
        <w:rPr>
          <w:rFonts w:ascii="Times New Roman" w:hAnsi="Times New Roman"/>
          <w:b w:val="false"/>
          <w:i w:val="false"/>
          <w:color w:val="000000"/>
          <w:sz w:val="22"/>
        </w:rPr>
        <w:t xml:space="preserve">means the office of consumer advocate, a division of the Iowa department of justice, referred to in Iowa Code chapter </w:t>
      </w:r>
      <w:hyperlink r:id="rId22">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23">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24">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request” </w:t>
      </w:r>
      <w:r>
        <w:rPr>
          <w:rFonts w:ascii="Times New Roman" w:hAnsi="Times New Roman"/>
          <w:b w:val="false"/>
          <w:i w:val="false"/>
          <w:color w:val="000000"/>
          <w:sz w:val="22"/>
        </w:rPr>
        <w:t>means a discovery procedure in which the requesting party asks another person for specified information or requests the production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 </w:t>
      </w:r>
      <w:r>
        <w:rPr>
          <w:rFonts w:ascii="Times New Roman" w:hAnsi="Times New Roman"/>
          <w:b w:val="false"/>
          <w:i w:val="false"/>
          <w:color w:val="000000"/>
          <w:sz w:val="22"/>
        </w:rPr>
        <w:t>means a proceeding before the commission in which a statutory or other provision of law directs the commission to render a decision in the proceeding in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“Filed” </w:t>
      </w:r>
      <w:r>
        <w:rPr>
          <w:rFonts w:ascii="Times New Roman" w:hAnsi="Times New Roman"/>
          <w:b w:val="false"/>
          <w:i w:val="false"/>
          <w:color w:val="000000"/>
          <w:sz w:val="22"/>
        </w:rPr>
        <w:t xml:space="preserve">means accepted for filing by the commission as defined in rule </w:t>
      </w:r>
      <w:hyperlink r:id="rId25">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means any person who, upon written petition, is permitted to intervene as a party in a specific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on which an order is uploaded into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named or admitted as a party in a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and includes individuals and all forms of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party who, by written petition, application, or other filing, applies for or seeks relief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one commission member or another person designated by the commission with the authority to preside over a particular proceeding or matter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proceeding that has been assigned by the commission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service as prescribed in </w:t>
      </w:r>
      <w:hyperlink r:id="rId2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199—7.3</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Presiding officers. </w:t>
      </w:r>
      <w:r>
        <w:rPr>
          <w:rFonts w:ascii="Times New Roman" w:hAnsi="Times New Roman"/>
          <w:b w:val="false"/>
          <w:i w:val="false"/>
          <w:color w:val="000000"/>
          <w:sz w:val="22"/>
        </w:rPr>
        <w:t>Presiding officers may be designated by the commission to preside over contested cases or other proceedings and conduct hearings and have the following authority, unless otherwise ordered by the commission: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regulate the course of hearings;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administer oaths and affirmations;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rule upon the admissibility of evidence and offers of proof;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take or cause depositions to be taken;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dispose of procedural matters, discovery disputes, motions to dismiss, and other motions that may involve final determination of proceedings, subject to review by the commission on its own motion or upon application by any party;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certify any question to the commission, in the discretion of the presiding officer or upon direction of the commission;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permit and schedule the filing of written briefs;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hold appropriate conferences before, during, or after hearings;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render a proposed decision and order in a contested case proceeding, or other proceeding, subject to review by the commission on its own motion or upon appeal by any party;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take any other action necessary or appropriate to the discharge of duties vested in the presiding officer, consistent with law and with the rules and orders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All orders will be issued and uploaded into the commission’s electronic filing system. Orders are effective upon acceptance into the electronic filing system, unless otherwise provided in the order. Orders and other filings in dockets may be viewed in the specific docket accessed through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communications. </w:t>
      </w:r>
      <w:r>
        <w:rPr>
          <w:rFonts w:ascii="Times New Roman" w:hAnsi="Times New Roman"/>
          <w:b w:val="false"/>
          <w:i w:val="false"/>
          <w:color w:val="000000"/>
          <w:sz w:val="22"/>
        </w:rPr>
        <w:t xml:space="preserve">Unless otherwise specifically provided, all electronic communications and documents are officially filed when they are accepted for filing as defined in rule </w:t>
      </w:r>
      <w:hyperlink r:id="rId28">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 xml:space="preserve">. The electronic service provisions in the “electronic service” rule in </w:t>
      </w:r>
      <w:hyperlink r:id="rId2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 xml:space="preserve">Paper filings may only be made with commission approval, except for filings made pursuant to the exceptions in rule </w:t>
      </w:r>
      <w:hyperlink r:id="rId30">
        <w:r>
          <w:rPr>
            <w:rStyle w:val="Hyperlink"/>
            <w:rFonts w:ascii="Times New Roman" w:hAnsi="Times New Roman"/>
            <w:b w:val="false"/>
            <w:i w:val="false"/>
            <w:color w:val="000000"/>
            <w:sz w:val="22"/>
          </w:rPr>
          <w:t>199—14.4(17A,476)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Reference to docket number. </w:t>
      </w:r>
      <w:r>
        <w:rPr>
          <w:rFonts w:ascii="Times New Roman" w:hAnsi="Times New Roman"/>
          <w:b w:val="false"/>
          <w:i w:val="false"/>
          <w:color w:val="000000"/>
          <w:sz w:val="22"/>
        </w:rPr>
        <w:t>The applicable docket number(s) should be included on the first page of all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Defective filings. </w:t>
      </w:r>
      <w:r>
        <w:rPr>
          <w:rFonts w:ascii="Times New Roman" w:hAnsi="Times New Roman"/>
          <w:b w:val="false"/>
          <w:i w:val="false"/>
          <w:color w:val="000000"/>
          <w:sz w:val="22"/>
        </w:rPr>
        <w:t>Only submissions that conform to the requirements of the applicable rule, statute, or order of the commission or presiding officer will be accepted for filing, and submissions that fail to substantially conform with the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Paper service. Paper service of filings is only necessary on those parties, or persons, whom the commission has approved to receive paper service. All filings served by paper are to be filed electronically pursuant to the “electronic service” rule in </w:t>
      </w:r>
      <w:hyperlink r:id="rId31">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in the appropriate docket in the electronic filing system, include a certificate of service, and be served on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service. The commission’s rule regarding electronic service is the “electronic service” rule in </w:t>
      </w:r>
      <w:hyperlink r:id="rId3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of documents containing confidential information. Parties may condition the service of unredacted documents containing confidential information on the execution of a confidentiality agreement. If the parties are unable to agree on a confidentiality agreement, they may ask the commission or presiding officer to issue an appropriate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 service. Unless otherwise ordered by the commission or presiding officer, the date of service is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rule regarding electronic service is the “electronic service” rule in </w:t>
      </w:r>
      <w:hyperlink r:id="rId3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upon attorneys. </w:t>
      </w:r>
      <w:r>
        <w:rPr>
          <w:rFonts w:ascii="Times New Roman" w:hAnsi="Times New Roman"/>
          <w:b w:val="false"/>
          <w:i w:val="false"/>
          <w:color w:val="000000"/>
          <w:sz w:val="22"/>
        </w:rPr>
        <w:t>When a party has appeared by attorney, service upon the attorney is deemed proper service upon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Each party to a proceeding is to file a written appearance in the docket that identifies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person files an application, petition, or other initial pleading, or an answer or other responsive pleading on behalf of a party, containing the person’s contact information, the filing of a separate appearance is not necessary. The appearance may be filed with the party’s initial filing in the proceeding or may be filed after the proceeding has been docketed.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Representation by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proceeding before the commission or a presiding officer may appear and be heard through a licensed attorney. If the attorney is not licensed by the state of Iowa, the attorney is to apply for admission pro hac vice pursuant to and abide by the provisions of Iowa Court Rule 31.14.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or association may appear and present evidence by an officer or employee. However, only licensed attorneys may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applicable to attorneys appearing before the courts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claims that a provision of law imposes an obligation on the commission to render a decision in a contested case in six months or less, the person will include the phrase “expedited proceedings” in the caption of the first pleading filed by the person in the proceeding and set the basis for the claim in the body of the pleading. If the phrase is not so included in the caption, the commission or presiding officer may find and order that the proceeding did not commence for time calculation purposes until the date on which the first pleading containing the “expedited proceedings” phrase is filed or such other date that the commission or presiding officer finds is just and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Shortened time limits applicable to expedited proceedings are contained in rules </w:t>
      </w:r>
      <w:hyperlink r:id="rId34">
        <w:r>
          <w:rPr>
            <w:rStyle w:val="Hyperlink"/>
            <w:rFonts w:ascii="Times New Roman" w:hAnsi="Times New Roman"/>
            <w:b w:val="false"/>
            <w:i w:val="false"/>
            <w:color w:val="000000"/>
            <w:sz w:val="22"/>
          </w:rPr>
          <w:t>199—7.9(17A,476)</w:t>
        </w:r>
      </w:hyperlink>
      <w:r>
        <w:rPr>
          <w:rFonts w:ascii="Times New Roman" w:hAnsi="Times New Roman"/>
          <w:b w:val="false"/>
          <w:i w:val="false"/>
          <w:color w:val="000000"/>
          <w:sz w:val="22"/>
        </w:rPr>
        <w:t xml:space="preserve"> (pleadings and answers), </w:t>
      </w:r>
      <w:hyperlink r:id="rId35">
        <w:r>
          <w:rPr>
            <w:rStyle w:val="Hyperlink"/>
            <w:rFonts w:ascii="Times New Roman" w:hAnsi="Times New Roman"/>
            <w:b w:val="false"/>
            <w:i w:val="false"/>
            <w:color w:val="000000"/>
            <w:sz w:val="22"/>
          </w:rPr>
          <w:t>199—7.12(17A,476)</w:t>
        </w:r>
      </w:hyperlink>
      <w:r>
        <w:rPr>
          <w:rFonts w:ascii="Times New Roman" w:hAnsi="Times New Roman"/>
          <w:b w:val="false"/>
          <w:i w:val="false"/>
          <w:color w:val="000000"/>
          <w:sz w:val="22"/>
        </w:rPr>
        <w:t xml:space="preserve"> (motions), </w:t>
      </w:r>
      <w:hyperlink r:id="rId36">
        <w:r>
          <w:rPr>
            <w:rStyle w:val="Hyperlink"/>
            <w:rFonts w:ascii="Times New Roman" w:hAnsi="Times New Roman"/>
            <w:b w:val="false"/>
            <w:i w:val="false"/>
            <w:color w:val="000000"/>
            <w:sz w:val="22"/>
          </w:rPr>
          <w:t>199—7.13(17A,476)</w:t>
        </w:r>
      </w:hyperlink>
      <w:r>
        <w:rPr>
          <w:rFonts w:ascii="Times New Roman" w:hAnsi="Times New Roman"/>
          <w:b w:val="false"/>
          <w:i w:val="false"/>
          <w:color w:val="000000"/>
          <w:sz w:val="22"/>
        </w:rPr>
        <w:t xml:space="preserve"> (intervention), </w:t>
      </w:r>
      <w:hyperlink r:id="rId37">
        <w:r>
          <w:rPr>
            <w:rStyle w:val="Hyperlink"/>
            <w:rFonts w:ascii="Times New Roman" w:hAnsi="Times New Roman"/>
            <w:b w:val="false"/>
            <w:i w:val="false"/>
            <w:color w:val="000000"/>
            <w:sz w:val="22"/>
          </w:rPr>
          <w:t>199—7.15(17A,476)</w:t>
        </w:r>
      </w:hyperlink>
      <w:r>
        <w:rPr>
          <w:rFonts w:ascii="Times New Roman" w:hAnsi="Times New Roman"/>
          <w:b w:val="false"/>
          <w:i w:val="false"/>
          <w:color w:val="000000"/>
          <w:sz w:val="22"/>
        </w:rPr>
        <w:t xml:space="preserve"> (discovery), and </w:t>
      </w:r>
      <w:hyperlink r:id="rId38">
        <w:r>
          <w:rPr>
            <w:rStyle w:val="Hyperlink"/>
            <w:rFonts w:ascii="Times New Roman" w:hAnsi="Times New Roman"/>
            <w:b w:val="false"/>
            <w:i w:val="false"/>
            <w:color w:val="000000"/>
            <w:sz w:val="22"/>
          </w:rPr>
          <w:t>199—7.26(17A,476)</w:t>
        </w:r>
      </w:hyperlink>
      <w:r>
        <w:rPr>
          <w:rFonts w:ascii="Times New Roman" w:hAnsi="Times New Roman"/>
          <w:b w:val="false"/>
          <w:i w:val="false"/>
          <w:color w:val="000000"/>
          <w:sz w:val="22"/>
        </w:rPr>
        <w:t xml:space="preserve"> (appeals from proposed decisions). An additional service requirement applicable to expedited proceedings is contained in subrule </w:t>
      </w:r>
      <w:hyperlink r:id="rId39">
        <w:r>
          <w:rPr>
            <w:rStyle w:val="Hyperlink"/>
            <w:rFonts w:ascii="Times New Roman" w:hAnsi="Times New Roman"/>
            <w:b w:val="false"/>
            <w:i w:val="false"/>
            <w:color w:val="000000"/>
            <w:sz w:val="22"/>
          </w:rPr>
          <w:t>7.4(5)</w:t>
        </w:r>
      </w:hyperlink>
      <w:r>
        <w:rPr>
          <w:rFonts w:ascii="Times New Roman" w:hAnsi="Times New Roman"/>
          <w:b w:val="false"/>
          <w:i w:val="false"/>
          <w:color w:val="000000"/>
          <w:sz w:val="22"/>
        </w:rPr>
        <w:t xml:space="preserve"> (service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file a motion that proceedings be expedited even though such treatment is not mandated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subrule </w:t>
      </w:r>
      <w:hyperlink r:id="rId40">
        <w:r>
          <w:rPr>
            <w:rStyle w:val="Hyperlink"/>
            <w:rFonts w:ascii="Times New Roman" w:hAnsi="Times New Roman"/>
            <w:b w:val="false"/>
            <w:i w:val="false"/>
            <w:color w:val="000000"/>
            <w:sz w:val="22"/>
          </w:rPr>
          <w:t>7.4(8)</w:t>
        </w:r>
      </w:hyperlink>
      <w:r>
        <w:rPr>
          <w:rFonts w:ascii="Times New Roman" w:hAnsi="Times New Roman"/>
          <w:b w:val="false"/>
          <w:i w:val="false"/>
          <w:color w:val="000000"/>
          <w:sz w:val="22"/>
        </w:rPr>
        <w:t xml:space="preserve"> do not apply to voluntary expedited proceedings under this paragraph unless ordered by the commission or presiding officer. If a party requests an expedited proceeding pursuant to this paragraph, the party will include “Expedited Proceedings” in the title.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199—7.5</w:t>
      </w:r>
      <w:r>
        <w:rPr>
          <w:rFonts w:ascii="Times New Roman" w:hAnsi="Times New Roman"/>
          <w:b/>
          <w:i w:val="false"/>
          <w:color w:val="000000"/>
          <w:sz w:val="22"/>
        </w:rPr>
        <w:t xml:space="preserve">(17A,476)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4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In response to a request or on its own motion, for good cause, the commission or presiding officer may extend or shorten the time to take any action, except as precluded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199—7.6</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proceedings. </w:t>
      </w:r>
      <w:r>
        <w:rPr>
          <w:rFonts w:ascii="Times New Roman" w:hAnsi="Times New Roman"/>
          <w:b w:val="false"/>
          <w:i w:val="false"/>
          <w:color w:val="000000"/>
          <w:sz w:val="22"/>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 xml:space="preserve">Filing of electronic information shall comply with the commission’s rules on electronic filing in </w:t>
      </w:r>
      <w:hyperlink r:id="rId4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the commission’s published standards for electronic information, available on the commission’s website at </w:t>
      </w:r>
      <w:hyperlink r:id="rId43">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or from the commission’s customer service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199—7.8</w:t>
      </w:r>
      <w:r>
        <w:rPr>
          <w:rFonts w:ascii="Times New Roman" w:hAnsi="Times New Roman"/>
          <w:b/>
          <w:i w:val="false"/>
          <w:color w:val="000000"/>
          <w:sz w:val="22"/>
        </w:rPr>
        <w:t xml:space="preserve">(17A,476) </w:t>
      </w:r>
      <w:r>
        <w:rPr>
          <w:rFonts w:ascii="Times New Roman" w:hAnsi="Times New Roman"/>
          <w:b/>
          <w:i w:val="false"/>
          <w:color w:val="000000"/>
          <w:sz w:val="22"/>
        </w:rPr>
        <w:t xml:space="preserve">Delivery of notice of hearing. </w:t>
      </w:r>
      <w:r>
        <w:rPr>
          <w:rFonts w:ascii="Times New Roman" w:hAnsi="Times New Roman"/>
          <w:b w:val="false"/>
          <w:i w:val="false"/>
          <w:color w:val="000000"/>
          <w:sz w:val="22"/>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199—7.9</w:t>
      </w:r>
      <w:r>
        <w:rPr>
          <w:rFonts w:ascii="Times New Roman" w:hAnsi="Times New Roman"/>
          <w:b/>
          <w:i w:val="false"/>
          <w:color w:val="000000"/>
          <w:sz w:val="22"/>
        </w:rPr>
        <w:t xml:space="preserve">(17A,476) </w:t>
      </w:r>
      <w:r>
        <w:rPr>
          <w:rFonts w:ascii="Times New Roman" w:hAnsi="Times New Roman"/>
          <w:b/>
          <w:i w:val="false"/>
          <w:color w:val="000000"/>
          <w:sz w:val="22"/>
        </w:rPr>
        <w:t xml:space="preserve">Pleadings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filed pursuant to statute, rule, or order or filed to initiate a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provision of law requires that the commission issue a decision in the case in six months or less, the answer shall be filed with the commission within ten days of service of the pleading being answered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will specifically admit, deny, or otherwise answer all material allegations of the pleadings and also briefly set forth the affirmative grounds relied upon to support each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who deems the complaint, petition, application, or other pleading insufficient to show a breach of legal duty or grounds for relief may move to dismiss instead of, or in addition to, answering.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party may apply for a more definitive and detailed statement instead of, or in addition to, answering,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Amendments to pleadings may be allowed upon proper motion at any time during the pendency of the proceeding upon such terms as are just and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199—7.10</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Prefiled testimony and 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or presiding officer may order the parties to file prefiled testimony and exhibits prior to the hearing. The use of prefiled testimony is the standard method for providing testimony in contested cases and other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substantive corrections to make to the prefiled testimony or exhibits, then the corrected testimony or exhibits shall be filed in the appropriate docket in the commission’s electronic filing system at least three days prior to the hearing. The prefiled testimony and any exhibits are to be marked and identified in conformance with the commission’s approved naming convention provided on the commission’s electronic filing system website or as directed in a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Prefiled testimony and exhibits are to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Prefiled testimony, exhibits, and supporting documents shall be filed in the commission’s electronic filing system in conformance with this rule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supporting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commission’s standards for electronic information, which are available on the commission’s website or from the commission’s customer service center, govern the filing of electronic workpapers in native electronic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Workpapers’ underlying analyses and data presented in exhibits should be explicitly referenced within the exhibit, including the name and other identifiers (e.g., cell coordinates) for electronic workpapers and volume, tab, and page numbers for other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of any number used in a workpaper that was not generated by that workpaper will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derivation or source of all numbers used in either testimony or exhibits that were not generated by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any specific studies or financial literature relied upon or complete citations for them if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copies, in native electronic format, of all computer-generated exhibits that comply with the commission’s standards for electronic information, which are available on the commission’s website or from the commission’s customer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standards for electronic information, which are available on the commission’s website or from the commission’s customer service center, and the electronic filing rules in </w:t>
      </w:r>
      <w:hyperlink r:id="rId4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govern the filing of prefiled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Documentary evidence in books and materials. </w:t>
      </w:r>
      <w:r>
        <w:rPr>
          <w:rFonts w:ascii="Times New Roman" w:hAnsi="Times New Roman"/>
          <w:b w:val="false"/>
          <w:i w:val="false"/>
          <w:color w:val="000000"/>
          <w:sz w:val="22"/>
        </w:rPr>
        <w:t>When documentary evidence being offered is contained in a book, report, or other document, the offering party will file only the material, relevant portions in an exhibit.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199—7.12</w:t>
      </w:r>
      <w:r>
        <w:rPr>
          <w:rFonts w:ascii="Times New Roman" w:hAnsi="Times New Roman"/>
          <w:b/>
          <w:i w:val="false"/>
          <w:color w:val="000000"/>
          <w:sz w:val="22"/>
        </w:rPr>
        <w:t xml:space="preserve">(17A,476)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Motions, unless made during hearing, are to be in writing, state the grounds for relief, and state the relief or order sought. Motions based on matters that do not appear of record may be supported by affidavit or other evidence. The filing of motions is governed by </w:t>
      </w:r>
      <w:hyperlink r:id="rId4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Any party may file a written response to a motion no later than 14 days from the date the motion is filed, unless the time period is extended or shortened by the commission or presiding officer. When a provision of law directs the commission to issue a decision in the case in six months or less, a party filing a written response is to do so within seven days from the date the motion is filed, unless otherwise ordered by the commission or presiding officer. Failure to file a timely response may be deemed a waiver of objection to the motion. Requirements regarding motions related to discovery are contained in rule </w:t>
      </w:r>
      <w:hyperlink r:id="rId46">
        <w:r>
          <w:rPr>
            <w:rStyle w:val="Hyperlink"/>
            <w:rFonts w:ascii="Times New Roman" w:hAnsi="Times New Roman"/>
            <w:b w:val="false"/>
            <w:i w:val="false"/>
            <w:color w:val="000000"/>
            <w:sz w:val="22"/>
          </w:rPr>
          <w:t>199—7.15</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199—7.13</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Unless otherwise ordered by the commission or presiding officer, a request to intervene in a proceeding shall be by petition to intervene filed no later than 20 days following the order setting a procedural schedule. However, when a provision of law directs the commission to issue a decision in the case in six months or less, the petition to intervene is to be filed no later than ten days following the order setting a procedural schedule, unless otherwise ordered by the commission or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Response. Any party may file a response within seven days of service of the petition to intervene unless the time period is extended or shortened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Grounds for intervention. Any person having an interest in the subject matter of a proceeding may be permitted to intervene at the discretion of the commission or presiding officer. In determining whether to grant intervention, the commission or presiding officer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intervenor’s interest in the subject matter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a decision that may be rendered upon the prospective intervenor’s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interest will be represented by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means by which the prospective intervenor’s interest may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participation may reasonably be expected to assist in the development of a sound record through presentation of relevant evidence and argument;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determining the extent to which the prospective intervenor’s interest will be represented by other parties, the consumer advocate’s role of representing the public interest will not be interpreted as representing every potential interest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limit a person’s intervention to particular issues or to a particular stage of the proceeding, or may otherwise condition the intervenor’s participation in the proceeding. Leave to intervene is generally granted by the commission or presiding officer to any person with a cognizable interest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A person granted leave to intervene is a party to the proceeding. However, unless the commission or presiding officer rules otherwise for good cause shown, an intervenor is bound by any agreement, arrangement, or order previously made or issued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199—7.14</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commission or presiding officer may consolidate in one docket any or all matters at issue in two or more dockets. When deciding whether to consolidate, the commission or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consolidation is likely to expedite or simplify consideration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consolidation would adversely affect the substantial rights of any of the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commission or presiding officer may order any contested case or portions thereof severed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199—7.15</w:t>
      </w:r>
      <w:r>
        <w:rPr>
          <w:rFonts w:ascii="Times New Roman" w:hAnsi="Times New Roman"/>
          <w:b/>
          <w:i w:val="false"/>
          <w:color w:val="000000"/>
          <w:sz w:val="22"/>
        </w:rPr>
        <w:t xml:space="preserve">(17A,476)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available to parties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or agreed to by the parties, data requests or interrogatories served by any party shall either be responded to or objected to, with concisely stated grounds for relief, within seven business days of receipt. When a provision of law directs the commission to issue a decision in the case in six months or less, this time is reduced to five days. Data requests or interrogatories served on a day the commission is closed or after 4:30 p.m. central time on a day the commission is open are considered served on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or presiding officer, time periods for compliance with all forms of discovery other than those stated in subrule </w:t>
      </w:r>
      <w:hyperlink r:id="rId47">
        <w:r>
          <w:rPr>
            <w:rStyle w:val="Hyperlink"/>
            <w:rFonts w:ascii="Times New Roman" w:hAnsi="Times New Roman"/>
            <w:b w:val="false"/>
            <w:i w:val="false"/>
            <w:color w:val="000000"/>
            <w:sz w:val="22"/>
          </w:rPr>
          <w:t>7.15(2)</w:t>
        </w:r>
      </w:hyperlink>
      <w:r>
        <w:rPr>
          <w:rFonts w:ascii="Times New Roman" w:hAnsi="Times New Roman"/>
          <w:b w:val="false"/>
          <w:i w:val="false"/>
          <w:color w:val="000000"/>
          <w:sz w:val="22"/>
        </w:rPr>
        <w:t xml:space="preserve"> are the same as those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shall make a good faith effort to resolve a discovery dispute by personally speaking with or attempting to speak with the opposing party before filing a discovery motion with the commission. A motion relating to discovery must set forth the date and time the moving party spoke with or attempted to speak with the opposing party in a good faith attempt to resolve the dispute.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subpoena will be issued to a party on a written request that includes the name, address, and telephone number of the requesting party. In the absence of good cause for permitting later action, a request for a subpoena will be filed at least seven days before the scheduled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commission or presiding officer may quash or modify a subpoena for any lawful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199—7.17</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Prehearing or scheduling conference. </w:t>
      </w:r>
      <w:r>
        <w:rPr>
          <w:rFonts w:ascii="Times New Roman" w:hAnsi="Times New Roman"/>
          <w:b w:val="false"/>
          <w:i w:val="false"/>
          <w:color w:val="000000"/>
          <w:sz w:val="22"/>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will be made a part of the record in the manner directed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199—7.18</w:t>
      </w:r>
      <w:r>
        <w:rPr>
          <w:rFonts w:ascii="Times New Roman" w:hAnsi="Times New Roman"/>
          <w:b/>
          <w:i w:val="false"/>
          <w:color w:val="000000"/>
          <w:sz w:val="22"/>
        </w:rPr>
        <w:t xml:space="preserve">(17A,476) </w:t>
      </w:r>
      <w:r>
        <w:rPr>
          <w:rFonts w:ascii="Times New Roman" w:hAnsi="Times New Roman"/>
          <w:b/>
          <w:i w:val="false"/>
          <w:color w:val="000000"/>
          <w:sz w:val="22"/>
        </w:rPr>
        <w:t xml:space="preserve">Settlements. </w:t>
      </w:r>
      <w:r>
        <w:rPr>
          <w:rFonts w:ascii="Times New Roman" w:hAnsi="Times New Roman"/>
          <w:b w:val="false"/>
          <w:i w:val="false"/>
          <w:color w:val="000000"/>
          <w:sz w:val="22"/>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Proposal of settlements. </w:t>
      </w:r>
      <w:r>
        <w:rPr>
          <w:rFonts w:ascii="Times New Roman" w:hAnsi="Times New Roman"/>
          <w:b w:val="false"/>
          <w:i w:val="false"/>
          <w:color w:val="000000"/>
          <w:sz w:val="22"/>
        </w:rPr>
        <w:t>Two or more parties may by written motion propose settlements for adoption by the commission or presiding officer. The motion will contain sufficient information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After proposal of a settlement that is not supported by all parties, and prior to approval, the settling parties are to convene at least one conference with notice and opportunity to participate provided to all parties for the purpose of discussing the settlement proposal. Written notice of the date, time, and place is to be furnished at least seven days in advance to all parties to the proceeding. Only parties and their representatives are entitled to attend a settlement conference. A party that has been given notice and opportunity to participate in the conference and does not do so is deemed to have waived its right to contest a proposed settlement, unless good cause is shown for the failure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Comment period. </w:t>
      </w:r>
      <w:r>
        <w:rPr>
          <w:rFonts w:ascii="Times New Roman" w:hAnsi="Times New Roman"/>
          <w:b w:val="false"/>
          <w:i w:val="false"/>
          <w:color w:val="000000"/>
          <w:sz w:val="22"/>
        </w:rPr>
        <w:t>When a party to a proceeding does not join in a settlement proposed for adoption by the commission or presiding officer, the party may file comments contesting all or part of the settlement with the commission within 14 days of the filing of the motion proposing settlement unless otherwise ordered by the commission or the presiding officer. Unless otherwise ordered by the commission or presiding officer, parties may file reply comments within seven days of filing of the comments.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Contents of comments. </w:t>
      </w:r>
      <w:r>
        <w:rPr>
          <w:rFonts w:ascii="Times New Roman" w:hAnsi="Times New Roman"/>
          <w:b w:val="false"/>
          <w:i w:val="false"/>
          <w:color w:val="000000"/>
          <w:sz w:val="22"/>
        </w:rPr>
        <w:t>A party contesting a proposed settlement is to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Contested settlements. </w:t>
      </w:r>
      <w:r>
        <w:rPr>
          <w:rFonts w:ascii="Times New Roman" w:hAnsi="Times New Roman"/>
          <w:b w:val="false"/>
          <w:i w:val="false"/>
          <w:color w:val="000000"/>
          <w:sz w:val="22"/>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Unanimous proposed settlement. </w:t>
      </w:r>
      <w:r>
        <w:rPr>
          <w:rFonts w:ascii="Times New Roman" w:hAnsi="Times New Roman"/>
          <w:b w:val="false"/>
          <w:i w:val="false"/>
          <w:color w:val="000000"/>
          <w:sz w:val="22"/>
        </w:rPr>
        <w:t xml:space="preserve">In proceedings where all parties join in the proposed settlement, parties may propose a settlement for adoption by the commission or presiding officer any time after docketing. Subrules </w:t>
      </w:r>
      <w:hyperlink r:id="rId48">
        <w:r>
          <w:rPr>
            <w:rStyle w:val="Hyperlink"/>
            <w:rFonts w:ascii="Times New Roman" w:hAnsi="Times New Roman"/>
            <w:b w:val="false"/>
            <w:i w:val="false"/>
            <w:color w:val="000000"/>
            <w:sz w:val="22"/>
          </w:rPr>
          <w:t>7.18(2) through 7.18(5)</w:t>
        </w:r>
      </w:hyperlink>
      <w:r>
        <w:rPr>
          <w:rFonts w:ascii="Times New Roman" w:hAnsi="Times New Roman"/>
          <w:b w:val="false"/>
          <w:i w:val="false"/>
          <w:color w:val="000000"/>
          <w:sz w:val="22"/>
        </w:rPr>
        <w:t xml:space="preserve"> do not apply to a proposed settlement filed concurrently by all parties to the proceeding. </w:t>
      </w:r>
      <w:hyperlink r:id="rId49">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xml:space="preserve"> applies to settlements in rate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Inadmissibility. </w:t>
      </w:r>
      <w:r>
        <w:rPr>
          <w:rFonts w:ascii="Times New Roman" w:hAnsi="Times New Roman"/>
          <w:b w:val="false"/>
          <w:i w:val="false"/>
          <w:color w:val="000000"/>
          <w:sz w:val="22"/>
        </w:rPr>
        <w:t>Any discussion, admission, concession, or offer to settle, whether oral or written, made during any negotiation on a settlement is privileged to the extent provided by law, including but not limited to Iowa Rule of Evidence 5.408.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199—7.19</w:t>
      </w:r>
      <w:r>
        <w:rPr>
          <w:rFonts w:ascii="Times New Roman" w:hAnsi="Times New Roman"/>
          <w:b/>
          <w:i w:val="false"/>
          <w:color w:val="000000"/>
          <w:sz w:val="22"/>
        </w:rPr>
        <w:t xml:space="preserve">(17A,476) </w:t>
      </w:r>
      <w:r>
        <w:rPr>
          <w:rFonts w:ascii="Times New Roman" w:hAnsi="Times New Roman"/>
          <w:b/>
          <w:i w:val="false"/>
          <w:color w:val="000000"/>
          <w:sz w:val="22"/>
        </w:rPr>
        <w:t xml:space="preserve">Stipulations. </w:t>
      </w:r>
      <w:r>
        <w:rPr>
          <w:rFonts w:ascii="Times New Roman" w:hAnsi="Times New Roman"/>
          <w:b w:val="false"/>
          <w:i w:val="false"/>
          <w:color w:val="000000"/>
          <w:sz w:val="22"/>
        </w:rPr>
        <w:t>Parties to any proceeding or investigation may, by stipulation filed with the commission, agree upon the facts or law or any portion thereof involved in the controversy, subject to approval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199—7.20</w:t>
      </w:r>
      <w:r>
        <w:rPr>
          <w:rFonts w:ascii="Times New Roman" w:hAnsi="Times New Roman"/>
          <w:b/>
          <w:i w:val="false"/>
          <w:color w:val="000000"/>
          <w:sz w:val="22"/>
        </w:rPr>
        <w:t xml:space="preserve">(17A,476)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availability of discovery pursuant to Iowa Code section </w:t>
      </w:r>
      <w:hyperlink r:id="rId50">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or the Iowa Rules of Civil Procedure does not limit the investigatory powers of the commission, its representatives, or the consumer advocate.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199—7.21</w:t>
      </w:r>
      <w:r>
        <w:rPr>
          <w:rFonts w:ascii="Times New Roman" w:hAnsi="Times New Roman"/>
          <w:b/>
          <w:i w:val="false"/>
          <w:color w:val="000000"/>
          <w:sz w:val="22"/>
        </w:rPr>
        <w:t xml:space="preserve">(17A,476)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 the permission of the commission or presiding officer, withdraw that request at any time prior to the issuance of a proposed or final decision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199—7.22</w:t>
      </w:r>
      <w:r>
        <w:rPr>
          <w:rFonts w:ascii="Times New Roman" w:hAnsi="Times New Roman"/>
          <w:b/>
          <w:i w:val="false"/>
          <w:color w:val="000000"/>
          <w:sz w:val="22"/>
        </w:rPr>
        <w:t xml:space="preserve">(17A,476)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Ex parte communications are governed by Iowa Code section </w:t>
      </w:r>
      <w:hyperlink r:id="rId5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199—7.23</w:t>
      </w:r>
      <w:r>
        <w:rPr>
          <w:rFonts w:ascii="Times New Roman" w:hAnsi="Times New Roman"/>
          <w:b/>
          <w:i w:val="false"/>
          <w:color w:val="000000"/>
          <w:sz w:val="22"/>
        </w:rPr>
        <w:t xml:space="preserve">(17A,476)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Commission or presiding officer. </w:t>
      </w:r>
      <w:r>
        <w:rPr>
          <w:rFonts w:ascii="Times New Roman" w:hAnsi="Times New Roman"/>
          <w:b w:val="false"/>
          <w:i w:val="false"/>
          <w:color w:val="000000"/>
          <w:sz w:val="22"/>
        </w:rPr>
        <w:t>The commission or presiding officer presides at the hearing and may rule on motions and issue such orders and rulings as will ensure the orderly conduct of the proceedings. The commission or presiding officer will maintain the decorum of the hearing and may refuse to admit, may set limits on, or may expel from the hearing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Each witness will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presenting evidence. </w:t>
      </w:r>
      <w:r>
        <w:rPr>
          <w:rFonts w:ascii="Times New Roman" w:hAnsi="Times New Roman"/>
          <w:b w:val="false"/>
          <w:i w:val="false"/>
          <w:color w:val="000000"/>
          <w:sz w:val="22"/>
        </w:rPr>
        <w:t>The commission or presiding officer will determine the order of the presentation of evidence based on applicable law and the interests of efficiency and justice, considering the preferences of the parties. Normally, the petitioner opens the presentation of evidence. In cases where testimony has been prefiled and unless otherwise ordered by the commission or the presiding officer, each party will make its witnesses available for cross-examination on all testimony filed or on behalf of that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52">
        <w:r>
          <w:rPr>
            <w:rStyle w:val="Hyperlink"/>
            <w:rFonts w:ascii="Times New Roman" w:hAnsi="Times New Roman"/>
            <w:b w:val="false"/>
            <w:i w:val="false"/>
            <w:color w:val="000000"/>
            <w:sz w:val="22"/>
          </w:rPr>
          <w:t>199—7.10(17A,476)</w:t>
        </w:r>
      </w:hyperlink>
      <w:r>
        <w:rPr>
          <w:rFonts w:ascii="Times New Roman" w:hAnsi="Times New Roman"/>
          <w:b w:val="false"/>
          <w:i w:val="false"/>
          <w:color w:val="000000"/>
          <w:sz w:val="22"/>
        </w:rPr>
        <w:t>. The sponsoring party is to provide one copy of prefiled testimony and included exhibits to the court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will rule on admissibility of evidence and may, where appropriate, take official notice of facts in accordance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commission or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exhibit was previously included with prefiled testimony, the party seeking admission of an exhibit at a hearing is to provide opposing parties with an opportunity to examine the exhibit prior to the ruling on its admissibility. All exhibits admitted into evidence are to be marked in accordance with the commission’s approved naming convention and made part of the evidentiary record. If an exhibit is admitted, unless it was previously included with prefiled testimony, the sponsoring party is to provide at least one copy of the exhibit to each opposing party, one copy to each commission member or presiding officer, one copy to the witness (if any), one copy to the court reporter, and two copies to commission staff, unless otherwise ordered. Parties are to file all their admitted hearing exhibits in the commission’s electronic filing system within three days of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is expected to briefly summarize the testimony or, with the permission of the commission or presiding officer, present the testimony. The commission or presiding officer may direct the offering party to file a written statement of the excluded oral testimony. If the excluded evidence consists of a document or exhibit, it will be marked as part of an offer of proof and inserted in the record. Unless previously included with prefiled testimony, the sponsoring party is to provide at least one copy of the document or exhibit to each opposing party, one copy to each commission member or presiding officer, one copy to the witness (if any), one copy to the court reporter, and two copies to commission staff,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All objections will be timely made on the record and state the grounds relied on. The commission or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7.23(6)</w:t>
      </w:r>
      <w:r>
        <w:rPr>
          <w:rFonts w:ascii="Times New Roman" w:hAnsi="Times New Roman"/>
          <w:b w:val="false"/>
          <w:i w:val="false"/>
          <w:color w:val="000000"/>
          <w:sz w:val="22"/>
        </w:rPr>
        <w:t> </w:t>
      </w:r>
      <w:r>
        <w:rPr>
          <w:rFonts w:ascii="Times New Roman" w:hAnsi="Times New Roman"/>
          <w:b w:val="false"/>
          <w:i/>
          <w:color w:val="000000"/>
          <w:sz w:val="22"/>
        </w:rPr>
        <w:t xml:space="preserve">Further evidence. </w:t>
      </w:r>
      <w:r>
        <w:rPr>
          <w:rFonts w:ascii="Times New Roman" w:hAnsi="Times New Roman"/>
          <w:b w:val="false"/>
          <w:i w:val="false"/>
          <w:color w:val="000000"/>
          <w:sz w:val="22"/>
        </w:rPr>
        <w:t>At any stage during or after the hearing, the commission or presiding officer may order a party to present additional evidence and may conduct additional proceedings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at hearings by nonparties. </w:t>
      </w:r>
      <w:r>
        <w:rPr>
          <w:rFonts w:ascii="Times New Roman" w:hAnsi="Times New Roman"/>
          <w:b w:val="false"/>
          <w:i w:val="false"/>
          <w:color w:val="000000"/>
          <w:sz w:val="22"/>
        </w:rPr>
        <w:t xml:space="preserve">The commission or presiding officer may permit any person to be heard at any hearing, but such person is not a party to the proceedings unless so designated. The testimony or statement of any person so appearing is given under oath and such person is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subrule </w:t>
      </w:r>
      <w:hyperlink r:id="rId53">
        <w:r>
          <w:rPr>
            <w:rStyle w:val="Hyperlink"/>
            <w:rFonts w:ascii="Times New Roman" w:hAnsi="Times New Roman"/>
            <w:b w:val="false"/>
            <w:i w:val="false"/>
            <w:color w:val="000000"/>
            <w:sz w:val="22"/>
          </w:rPr>
          <w:t>7.4(7)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7.23(8)</w:t>
      </w:r>
      <w:r>
        <w:rPr>
          <w:rFonts w:ascii="Times New Roman" w:hAnsi="Times New Roman"/>
          <w:b w:val="false"/>
          <w:i w:val="false"/>
          <w:color w:val="000000"/>
          <w:sz w:val="22"/>
        </w:rPr>
        <w:t> </w:t>
      </w:r>
      <w:r>
        <w:rPr>
          <w:rFonts w:ascii="Times New Roman" w:hAnsi="Times New Roman"/>
          <w:b w:val="false"/>
          <w:i/>
          <w:color w:val="000000"/>
          <w:sz w:val="22"/>
        </w:rPr>
        <w:t xml:space="preserve">Briefs.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waived by the parties with the consent of the commission or presiding officer, times for the filing and service of briefs will be set by the commission or presiding officer. Unless otherwise ordered by the commission or presiding officer, initial briefs will be filed simultaneously by all parties and reply briefs will be filed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briefs should contain a concise statement of the case and all arguments, with citations to the evidence, that the party intends to offer in support of its case. Unless otherwise ordered, a reply brief should be confined to refuting arguments made in the brief of an adverse party. Unless specifically ordered to brief an issue, a party’s failure to address an issue by brief will not be deemed a waiver of that issue and does not preclude the commission or presiding officer from deciding the issue on the basis of evidence appearing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brief of more than 20 pages should contain at its beginning a table of contents with page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Briefs should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pages should be 8½ by 11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printed matter should appear in at least 11-point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should be margins of at least one inch on the top, bottom, right, and left sides of the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of the brief should be double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Footnotes may be single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printed matter may appear in any pitch, as long as the characters are spaced in a readable manner. Any readable font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7.23(9)</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will not be deemed a waiver of the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7.23(10)</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of the case is maintained in the commission’s electronic filing system. Unless the record is held confidential pursuant to the “public information and inspection of records” rule in </w:t>
      </w:r>
      <w:hyperlink r:id="rId54">
        <w:r>
          <w:rPr>
            <w:rStyle w:val="Hyperlink"/>
            <w:rFonts w:ascii="Times New Roman" w:hAnsi="Times New Roman"/>
            <w:b w:val="false"/>
            <w:i w:val="false"/>
            <w:color w:val="000000"/>
            <w:sz w:val="22"/>
          </w:rPr>
          <w:t>199—Chapter </w:t>
        </w:r>
      </w:hyperlink>
      <w:r>
        <w:rPr>
          <w:rFonts w:ascii="Times New Roman" w:hAnsi="Times New Roman"/>
          <w:b w:val="false"/>
          <w:i w:val="false"/>
          <w:color w:val="000000"/>
          <w:sz w:val="22"/>
        </w:rPr>
        <w:t>1, parties and members of the public may examine the record and obtain copies of documents, including the transcript,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should state all facts relied on by the moving party that show good cause existed for that party’s failure to appear at the hearing or answer or otherwise respond to an appropriate pleading directed to and properly served upon that party. The stated facts should be substantiated by citation to evidence in the record or by affidavit attached to the motion. Unless otherwise ordered, adverse parties have ten days to respond to a motion to vacate. If the decision is rendered by a presiding officer, the commission may review it on the commission’s own motion within 15 days after the date of notification or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motion to vacate will not be granted except upon a finding of good cause. The burden of proof as to good cause is on the moving party. “Good cause” for purposes of this rule has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the “interlocutory appeals” rule of </w:t>
      </w:r>
      <w:hyperlink r:id="rId55">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commission or presiding officer may schedule another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the “appeals to commission from a proposed decision of a presiding officer” rule of </w:t>
      </w:r>
      <w:hyperlink r:id="rId56">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or a request for stay pursuant to the “rehearing and reconsideration” rule of </w:t>
      </w:r>
      <w:hyperlink r:id="rId57">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199—7.24</w:t>
      </w:r>
      <w:r>
        <w:rPr>
          <w:rFonts w:ascii="Times New Roman" w:hAnsi="Times New Roman"/>
          <w:b/>
          <w:i w:val="false"/>
          <w:color w:val="000000"/>
          <w:sz w:val="22"/>
        </w:rPr>
        <w:t xml:space="preserve">(17A,476) </w:t>
      </w:r>
      <w:r>
        <w:rPr>
          <w:rFonts w:ascii="Times New Roman" w:hAnsi="Times New Roman"/>
          <w:b/>
          <w:i w:val="false"/>
          <w:color w:val="000000"/>
          <w:sz w:val="22"/>
        </w:rPr>
        <w:t xml:space="preserve">Reopening record. </w:t>
      </w:r>
      <w:r>
        <w:rPr>
          <w:rFonts w:ascii="Times New Roman" w:hAnsi="Times New Roman"/>
          <w:b w:val="false"/>
          <w:i w:val="false"/>
          <w:color w:val="000000"/>
          <w:sz w:val="22"/>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may be made any time prior to issuance of the proposed decision. If the moving party requests the opportunity to present new evidence, the moving party will attach an affidavit from each witness who will present the new evidence with an explanation of the competence of the witness and a description of the evidence to be included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199—7.25</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shall be filed within ten days of issuance of the challenged order, but no later than the time for compliance with the order or ten days prior to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199—7.26</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Appeals to commission from a proposed decision of a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Notification of proposed decision. Notice of the presiding officer’s proposed decision and order in a contested case will be sent through the electronic filing system, or by first-class mail if the commission has granted a party approval to receive service in paper, on the date the order is issued. The decision will normally include “Proposed Decision and Order” in the title and will normally inform the parties of their right to appeal an adverse decision and the time in which an appeal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Appeal from proposed decision. A proposed decision and order of the presiding officer in a contested case becomes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adversely affected party may appeal a proposed decision by timely filing a notice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On appeal of a proposed decision of a presiding officer that is based upon new evidence not introduced in the record before the presiding officer, the commission will determine whether the new evidence warrants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Contents of notice of appeal. The notice of appeal shall include the following in separately numbered paragraphs supported, where applicable, by controlling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history of the proceeding, including the date and a description of any ruling claimed to be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each of the issues to be presented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will include a citation to briefs or other documents filed in the proceeding before the presiding officer where the legal points raised in the appeal were discussed. If a claim of error is based on allegations that the presiding officer failed to adequately consider evidence introduced at hearing, the appellant will include a citation to pages of the transcript or other documents where the evidence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precise statement of the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if a party seeks a stay or other temporary remedy pending review of the proposed decision by the commission, with the reasons justifying such a stay or other temporary remedy that includes a discussion of the factors listed in Iowa Code section </w:t>
      </w:r>
      <w:hyperlink r:id="rId5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(5)</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Certification of service showing the names and addresses of all parties upon whom a copy of the notice of appeal was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Responsive filings and cross-appeals. Parties may file a response to the notice of appeal or may file a cross-appeal within 14 days after the filing of the notice of appeal unless otherwise ordered by the commission. If a request for a stay or other temporary remedy was included in the notice of appeal, any party wishing to respond to the request will include the response to the request in the party’s response to the notice of appeal or notice of cross-appeal. When a provision of law directs the commission to issue a decision in the case in less than six months, the period for filing a response or cross-appeal is reduced to seven days from the filing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should specifically respond to each of the substantive paragraphs of the notice of appeal and state whether an opportunity to file responsive briefs or to participate in oral argument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contained in this rule pertaining to a notice of appeal also apply to a notice of cross-appeal, other than the time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 xml:space="preserve">Ruling on appeal. After the filing of the last appeal, response, or cross-appeal, the commission will issue an order that may establish a procedural schedule for the appeal or may be the commission’s final decision on the merits of the appeal. If a request for a stay or other temporary remedy was included in the notice of appeal, the request will be evaluated by the commission using the factors stated in rule </w:t>
      </w:r>
      <w:hyperlink r:id="rId59">
        <w:r>
          <w:rPr>
            <w:rStyle w:val="Hyperlink"/>
            <w:rFonts w:ascii="Times New Roman" w:hAnsi="Times New Roman"/>
            <w:b w:val="false"/>
            <w:i w:val="false"/>
            <w:color w:val="000000"/>
            <w:sz w:val="22"/>
          </w:rPr>
          <w:t>199—7.28(17A,476)</w:t>
        </w:r>
      </w:hyperlink>
      <w:r>
        <w:rPr>
          <w:rFonts w:ascii="Times New Roman" w:hAnsi="Times New Roman"/>
          <w:b w:val="false"/>
          <w:i w:val="false"/>
          <w:color w:val="000000"/>
          <w:sz w:val="22"/>
        </w:rPr>
        <w:t>. 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199—7.27</w:t>
      </w:r>
      <w:r>
        <w:rPr>
          <w:rFonts w:ascii="Times New Roman" w:hAnsi="Times New Roman"/>
          <w:b/>
          <w:i w:val="false"/>
          <w:color w:val="000000"/>
          <w:sz w:val="22"/>
        </w:rPr>
        <w:t xml:space="preserve">(17A,476) </w:t>
      </w:r>
      <w:r>
        <w:rPr>
          <w:rFonts w:ascii="Times New Roman" w:hAnsi="Times New Roman"/>
          <w:b/>
          <w:i w:val="false"/>
          <w:color w:val="000000"/>
          <w:sz w:val="22"/>
        </w:rPr>
        <w:t xml:space="preserve">Rehearing and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Any party to a contested case may file an application for rehearing or reconsideration of the final decision within 20 days after the issuance of a final decision in a contested case. The commission will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is deemed a refusal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Applications for rehearing or reconsideration will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will present the evidence by affidavit that includes an explanation of the competence of the person to sponsor the evidence and a brief description of the evidence sought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objections to applications for rehearing or reconsideration. </w:t>
      </w:r>
      <w:r>
        <w:rPr>
          <w:rFonts w:ascii="Times New Roman" w:hAnsi="Times New Roman"/>
          <w:b w:val="false"/>
          <w:i w:val="false"/>
          <w:color w:val="000000"/>
          <w:sz w:val="22"/>
        </w:rPr>
        <w:t xml:space="preserve">Notwithstanding the provisions of subrule </w:t>
      </w:r>
      <w:hyperlink r:id="rId60">
        <w:r>
          <w:rPr>
            <w:rStyle w:val="Hyperlink"/>
            <w:rFonts w:ascii="Times New Roman" w:hAnsi="Times New Roman"/>
            <w:b w:val="false"/>
            <w:i w:val="false"/>
            <w:color w:val="000000"/>
            <w:sz w:val="22"/>
          </w:rPr>
          <w:t>7.9(2)</w:t>
        </w:r>
      </w:hyperlink>
      <w:r>
        <w:rPr>
          <w:rFonts w:ascii="Times New Roman" w:hAnsi="Times New Roman"/>
          <w:b w:val="false"/>
          <w:i w:val="false"/>
          <w:color w:val="000000"/>
          <w:sz w:val="22"/>
        </w:rPr>
        <w:t xml:space="preserve"> and unless otherwise ordered by the commission, within 14 days of the date the application was filed, an answer or objection to the application may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199—7.28</w:t>
      </w:r>
      <w:r>
        <w:rPr>
          <w:rFonts w:ascii="Times New Roman" w:hAnsi="Times New Roman"/>
          <w:b/>
          <w:i w:val="false"/>
          <w:color w:val="000000"/>
          <w:sz w:val="22"/>
        </w:rPr>
        <w:t xml:space="preserve">(17A,476) </w:t>
      </w:r>
      <w:r>
        <w:rPr>
          <w:rFonts w:ascii="Times New Roman" w:hAnsi="Times New Roman"/>
          <w:b/>
          <w:i w:val="false"/>
          <w:color w:val="000000"/>
          <w:sz w:val="22"/>
        </w:rPr>
        <w:t xml:space="preserve">Stay of agency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commission for a stay or other temporary remedy pending judicial review of the proceeding. The petition will state the reasons justifying a stay or other temporary remedy and be served on all other parties pursuant to subrule </w:t>
      </w:r>
      <w:hyperlink r:id="rId61">
        <w:r>
          <w:rPr>
            <w:rStyle w:val="Hyperlink"/>
            <w:rFonts w:ascii="Times New Roman" w:hAnsi="Times New Roman"/>
            <w:b w:val="false"/>
            <w:i w:val="false"/>
            <w:color w:val="000000"/>
            <w:sz w:val="22"/>
          </w:rPr>
          <w:t>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commission will consider the factors listed in Iowa Code section </w:t>
      </w:r>
      <w:hyperlink r:id="rId6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(5)</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199—7.29</w:t>
      </w:r>
      <w:r>
        <w:rPr>
          <w:rFonts w:ascii="Times New Roman" w:hAnsi="Times New Roman"/>
          <w:b/>
          <w:i w:val="false"/>
          <w:color w:val="000000"/>
          <w:sz w:val="22"/>
        </w:rPr>
        <w:t xml:space="preserve">(17A,476)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63">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provide reasonably reliable information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are likely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obligated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to comply with the order by the most reasonably available method, which may include one or more of the following methods: notice through the electronic filing system, personal delivery, certified mail, first-class mail, fax, or email. To the degree practical, the commission will select the method or methods most likely to result in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delivered by personal service on the day issued, the commission will make reasonable efforts to contact the persons who are to comply with the order by telephone, in person,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and delivery of a written emergency adjudicative order will normally include notification of a procedural schedule for completion of the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65">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February 18, 1966]</w:t>
      </w:r>
    </w:p>
    <w:p>
      <w:pPr>
        <w:spacing w:before="0" w:after="0"/>
        <w:ind w:left="120"/>
        <w:jc w:val="center"/>
      </w:pPr>
      <w:r>
        <w:rPr>
          <w:rFonts w:ascii="Times New Roman" w:hAnsi="Times New Roman"/>
          <w:b w:val="false"/>
          <w:i w:val="false"/>
          <w:color w:val="000000"/>
          <w:sz w:val="21"/>
        </w:rPr>
        <w:t>[Filed without Notice 10/8/75—published 10/20/75]</w:t>
      </w:r>
    </w:p>
    <w:p>
      <w:pPr>
        <w:spacing w:before="0" w:after="0"/>
        <w:ind w:left="120"/>
        <w:jc w:val="center"/>
      </w:pPr>
      <w:r>
        <w:rPr>
          <w:rFonts w:ascii="Times New Roman" w:hAnsi="Times New Roman"/>
          <w:b w:val="false"/>
          <w:i w:val="false"/>
          <w:color w:val="000000"/>
          <w:sz w:val="21"/>
        </w:rPr>
        <w:t>[Filed 2/11/76, Notice 7/14/76—published 2/23/76, effective 3/29/76]</w:t>
      </w:r>
    </w:p>
    <w:p>
      <w:pPr>
        <w:spacing w:before="0" w:after="0"/>
        <w:ind w:left="120"/>
        <w:jc w:val="center"/>
      </w:pPr>
      <w:r>
        <w:rPr>
          <w:rFonts w:ascii="Times New Roman" w:hAnsi="Times New Roman"/>
          <w:b w:val="false"/>
          <w:i w:val="false"/>
          <w:color w:val="000000"/>
          <w:sz w:val="21"/>
        </w:rPr>
        <w:t>[Filed emergency 8/10/77 after Notice 6/1/77—published 9/7/77, effective 8/10/77]</w:t>
      </w:r>
    </w:p>
    <w:p>
      <w:pPr>
        <w:spacing w:before="0" w:after="0"/>
        <w:ind w:left="120"/>
        <w:jc w:val="center"/>
      </w:pPr>
      <w:r>
        <w:rPr>
          <w:rFonts w:ascii="Times New Roman" w:hAnsi="Times New Roman"/>
          <w:b w:val="false"/>
          <w:i w:val="false"/>
          <w:color w:val="000000"/>
          <w:sz w:val="21"/>
        </w:rPr>
        <w:t>[Filed 8/7/78, Notice 2/8/78—published 9/6/78, effective 10/11/78]</w:t>
      </w:r>
    </w:p>
    <w:p>
      <w:pPr>
        <w:spacing w:before="0" w:after="0"/>
        <w:ind w:left="120"/>
        <w:jc w:val="center"/>
      </w:pPr>
      <w:r>
        <w:rPr>
          <w:rFonts w:ascii="Times New Roman" w:hAnsi="Times New Roman"/>
          <w:b w:val="false"/>
          <w:i w:val="false"/>
          <w:color w:val="000000"/>
          <w:sz w:val="21"/>
        </w:rPr>
        <w:t>[Filed emergency 9/18/78—published 10/4/78, effective 10/11/78]</w:t>
      </w:r>
    </w:p>
    <w:p>
      <w:pPr>
        <w:spacing w:before="0" w:after="0"/>
        <w:ind w:left="120"/>
        <w:jc w:val="center"/>
      </w:pPr>
      <w:r>
        <w:rPr>
          <w:rFonts w:ascii="Times New Roman" w:hAnsi="Times New Roman"/>
          <w:b w:val="false"/>
          <w:i w:val="false"/>
          <w:color w:val="000000"/>
          <w:sz w:val="21"/>
        </w:rPr>
        <w:t>[Filed emergency 6/30/81 after Notice 3/4/81—published 7/22/81, effective 7/1/81]</w:t>
      </w:r>
    </w:p>
    <w:p>
      <w:pPr>
        <w:spacing w:before="0" w:after="0"/>
        <w:ind w:left="120"/>
        <w:jc w:val="center"/>
      </w:pPr>
      <w:r>
        <w:rPr>
          <w:rFonts w:ascii="Times New Roman" w:hAnsi="Times New Roman"/>
          <w:b w:val="false"/>
          <w:i w:val="false"/>
          <w:color w:val="000000"/>
          <w:sz w:val="21"/>
        </w:rPr>
        <w:t>[Filed emergency 7/10/81—published 8/5/81, effective 7/10/81]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8/28/81, Notice 7/8/81—published 9/16/81, effective 10/21/81]</w:t>
      </w:r>
    </w:p>
    <w:p>
      <w:pPr>
        <w:spacing w:before="0" w:after="0"/>
        <w:ind w:left="120"/>
        <w:jc w:val="center"/>
      </w:pPr>
      <w:r>
        <w:rPr>
          <w:rFonts w:ascii="Times New Roman" w:hAnsi="Times New Roman"/>
          <w:b w:val="false"/>
          <w:i w:val="false"/>
          <w:color w:val="000000"/>
          <w:sz w:val="21"/>
        </w:rPr>
        <w:t>[Filed 10/20/81, Notice 11/26/80—published 11/11/81, effective 12/16/81]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12/17/81, Notice 8/19/81—published 1/6/82, effective 2/10/82]</w:t>
      </w:r>
    </w:p>
    <w:p>
      <w:pPr>
        <w:spacing w:before="0" w:after="0"/>
        <w:ind w:left="120"/>
        <w:jc w:val="center"/>
      </w:pPr>
      <w:r>
        <w:rPr>
          <w:rFonts w:ascii="Times New Roman" w:hAnsi="Times New Roman"/>
          <w:b w:val="false"/>
          <w:i w:val="false"/>
          <w:color w:val="000000"/>
          <w:sz w:val="21"/>
        </w:rPr>
        <w:t>[Filed 12/31/81, Notice 8/5/81—published 1/20/82, effective 2/24/82]</w:t>
      </w:r>
    </w:p>
    <w:p>
      <w:pPr>
        <w:spacing w:before="0" w:after="0"/>
        <w:ind w:left="120"/>
        <w:jc w:val="center"/>
      </w:pPr>
      <w:r>
        <w:rPr>
          <w:rFonts w:ascii="Times New Roman" w:hAnsi="Times New Roman"/>
          <w:b w:val="false"/>
          <w:i w:val="false"/>
          <w:color w:val="000000"/>
          <w:sz w:val="21"/>
        </w:rPr>
        <w:t>[Filed 1/28/82, Notice 9/30/81—published 2/17/82, effective 3/24/82]</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after Notice 2/22/82, Notice 1/6/82—published 3/17/82, effective 2/24/82]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without Notice 9/26/83—published 10/12/83, effective 12/1/83]</w:t>
      </w:r>
    </w:p>
    <w:p>
      <w:pPr>
        <w:spacing w:before="0" w:after="0"/>
        <w:ind w:left="120"/>
        <w:jc w:val="center"/>
      </w:pPr>
      <w:r>
        <w:rPr>
          <w:rFonts w:ascii="Times New Roman" w:hAnsi="Times New Roman"/>
          <w:b w:val="false"/>
          <w:i w:val="false"/>
          <w:color w:val="000000"/>
          <w:sz w:val="21"/>
        </w:rPr>
        <w:t>[Filed 10/21/83, Notice 8/3/83—published 11/9/83, effective 12/14/83]</w:t>
      </w:r>
    </w:p>
    <w:p>
      <w:pPr>
        <w:spacing w:before="0" w:after="0"/>
        <w:ind w:left="120"/>
        <w:jc w:val="center"/>
      </w:pPr>
      <w:r>
        <w:rPr>
          <w:rFonts w:ascii="Times New Roman" w:hAnsi="Times New Roman"/>
          <w:b w:val="false"/>
          <w:i w:val="false"/>
          <w:color w:val="000000"/>
          <w:sz w:val="21"/>
        </w:rPr>
        <w:t>[Filed without Notice 11/4/83—published 11/23/83,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1/27/84, Notice 11/23/83—published 2/15/84, effective 3/21/84]</w:t>
      </w:r>
    </w:p>
    <w:p>
      <w:pPr>
        <w:spacing w:before="0" w:after="0"/>
        <w:ind w:left="120"/>
        <w:jc w:val="center"/>
      </w:pPr>
      <w:r>
        <w:rPr>
          <w:rFonts w:ascii="Times New Roman" w:hAnsi="Times New Roman"/>
          <w:b w:val="false"/>
          <w:i w:val="false"/>
          <w:color w:val="000000"/>
          <w:sz w:val="21"/>
        </w:rPr>
        <w:t>[Filed 1/27/84, Notice 12/21/83—published 2/15/84, effective 3/21/84]</w:t>
      </w:r>
    </w:p>
    <w:p>
      <w:pPr>
        <w:spacing w:before="0" w:after="0"/>
        <w:ind w:left="120"/>
        <w:jc w:val="center"/>
      </w:pPr>
      <w:r>
        <w:rPr>
          <w:rFonts w:ascii="Times New Roman" w:hAnsi="Times New Roman"/>
          <w:b w:val="false"/>
          <w:i w:val="false"/>
          <w:color w:val="000000"/>
          <w:sz w:val="21"/>
        </w:rPr>
        <w:t>[Filed 2/24/84, Notice 11/23/83—published 3/14/84, effective 4/18/84]</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11/6/84, Notice 8/29/84—published 11/21/84, effective 12/26/84]</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6/19/85—published 9/11/85, effective 10/16/85]</w:t>
      </w:r>
    </w:p>
    <w:p>
      <w:pPr>
        <w:spacing w:before="0" w:after="0"/>
        <w:ind w:left="120"/>
        <w:jc w:val="center"/>
      </w:pPr>
      <w:r>
        <w:rPr>
          <w:rFonts w:ascii="Times New Roman" w:hAnsi="Times New Roman"/>
          <w:b w:val="false"/>
          <w:i w:val="false"/>
          <w:color w:val="000000"/>
          <w:sz w:val="21"/>
        </w:rPr>
        <w:t>[Filed 2/7/86, Notice 12/4/85—published 2/26/86, effective 4/2/86]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5/2/86, Notice 3/26/86—published 5/21/86, effective 6/25/86]</w:t>
      </w:r>
    </w:p>
    <w:p>
      <w:pPr>
        <w:spacing w:before="0" w:after="0"/>
        <w:ind w:left="120"/>
        <w:jc w:val="center"/>
      </w:pPr>
      <w:r>
        <w:rPr>
          <w:rFonts w:ascii="Times New Roman" w:hAnsi="Times New Roman"/>
          <w:b w:val="false"/>
          <w:i w:val="false"/>
          <w:color w:val="000000"/>
          <w:sz w:val="21"/>
        </w:rPr>
        <w:t>[Filed 7/11/86, Notice 5/21/86—published 7/30/86, effective 9/3/86]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8/8/86, Notice 3/26/86—published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10/31/86, Notice 9/10/86—published 11/19/86, effective 12/24/86]</w:t>
      </w:r>
    </w:p>
    <w:p>
      <w:pPr>
        <w:spacing w:before="0" w:after="0"/>
        <w:ind w:left="120"/>
        <w:jc w:val="center"/>
      </w:pPr>
      <w:r>
        <w:rPr>
          <w:rFonts w:ascii="Times New Roman" w:hAnsi="Times New Roman"/>
          <w:b w:val="false"/>
          <w:i w:val="false"/>
          <w:color w:val="000000"/>
          <w:sz w:val="21"/>
        </w:rPr>
        <w:t>[Filed 1/9/87, Notice 8/13/86—published 1/28/87, effective 4/29/87]</w:t>
      </w:r>
    </w:p>
    <w:p>
      <w:pPr>
        <w:spacing w:before="0" w:after="0"/>
        <w:ind w:left="120"/>
        <w:jc w:val="center"/>
      </w:pPr>
      <w:r>
        <w:rPr>
          <w:rFonts w:ascii="Times New Roman" w:hAnsi="Times New Roman"/>
          <w:b w:val="false"/>
          <w:i w:val="false"/>
          <w:color w:val="000000"/>
          <w:sz w:val="21"/>
        </w:rPr>
        <w:t>[Filed 3/23/87, Notice 1/14/87—published 4/8/87, effective 5/13/87]</w:t>
      </w:r>
    </w:p>
    <w:p>
      <w:pPr>
        <w:spacing w:before="0" w:after="0"/>
        <w:ind w:left="120"/>
        <w:jc w:val="center"/>
      </w:pPr>
      <w:r>
        <w:rPr>
          <w:rFonts w:ascii="Times New Roman" w:hAnsi="Times New Roman"/>
          <w:b w:val="false"/>
          <w:i w:val="false"/>
          <w:color w:val="000000"/>
          <w:sz w:val="21"/>
        </w:rPr>
        <w:t>[Filed 11/13/87, Notice 7/1/87—published 12/2/87, effective 1/6/88]</w:t>
      </w:r>
    </w:p>
    <w:p>
      <w:pPr>
        <w:spacing w:before="0" w:after="0"/>
        <w:ind w:left="120"/>
        <w:jc w:val="center"/>
      </w:pPr>
      <w:r>
        <w:rPr>
          <w:rFonts w:ascii="Times New Roman" w:hAnsi="Times New Roman"/>
          <w:b w:val="false"/>
          <w:i w:val="false"/>
          <w:color w:val="000000"/>
          <w:sz w:val="21"/>
        </w:rPr>
        <w:t>[Filed 8/17/88, Notice 7/13/88—published 9/7/88, effective 10/12/88]</w:t>
      </w:r>
    </w:p>
    <w:p>
      <w:pPr>
        <w:spacing w:before="0" w:after="0"/>
        <w:ind w:left="120"/>
        <w:jc w:val="center"/>
      </w:pPr>
      <w:r>
        <w:rPr>
          <w:rFonts w:ascii="Times New Roman" w:hAnsi="Times New Roman"/>
          <w:b w:val="false"/>
          <w:i w:val="false"/>
          <w:color w:val="000000"/>
          <w:sz w:val="21"/>
        </w:rPr>
        <w:t>[Filed 1/6/89, Notice 7/27/88—published 1/25/89, effective 3/1/89]</w:t>
      </w:r>
    </w:p>
    <w:p>
      <w:pPr>
        <w:spacing w:before="0" w:after="0"/>
        <w:ind w:left="120"/>
        <w:jc w:val="center"/>
      </w:pPr>
      <w:r>
        <w:rPr>
          <w:rFonts w:ascii="Times New Roman" w:hAnsi="Times New Roman"/>
          <w:b w:val="false"/>
          <w:i w:val="false"/>
          <w:color w:val="000000"/>
          <w:sz w:val="21"/>
        </w:rPr>
        <w:t>[Filed without Notice 6/26/89—published 7/12/89, effective 8/16/89]</w:t>
      </w:r>
    </w:p>
    <w:p>
      <w:pPr>
        <w:spacing w:before="0" w:after="0"/>
        <w:ind w:left="120"/>
        <w:jc w:val="center"/>
      </w:pPr>
      <w:r>
        <w:rPr>
          <w:rFonts w:ascii="Times New Roman" w:hAnsi="Times New Roman"/>
          <w:b w:val="false"/>
          <w:i w:val="false"/>
          <w:color w:val="000000"/>
          <w:sz w:val="21"/>
        </w:rPr>
        <w:t>[Filed 7/20/89, Notices 10/5/88, 1/25/89—published 8/9/89, effective 9/13/89]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1/5/90, Notice 7/12/89—published 1/24/90, effective 2/28/90]</w:t>
      </w:r>
    </w:p>
    <w:p>
      <w:pPr>
        <w:spacing w:before="0" w:after="0"/>
        <w:ind w:left="120"/>
        <w:jc w:val="center"/>
      </w:pPr>
      <w:r>
        <w:rPr>
          <w:rFonts w:ascii="Times New Roman" w:hAnsi="Times New Roman"/>
          <w:b w:val="false"/>
          <w:i w:val="false"/>
          <w:color w:val="000000"/>
          <w:sz w:val="21"/>
        </w:rPr>
        <w:t>[Filed 5/25/90, Notice 9/20/89—published 6/13/90, effective 7/18/90]</w:t>
      </w:r>
    </w:p>
    <w:p>
      <w:pPr>
        <w:spacing w:before="0" w:after="0"/>
        <w:ind w:left="120"/>
        <w:jc w:val="center"/>
      </w:pPr>
      <w:r>
        <w:rPr>
          <w:rFonts w:ascii="Times New Roman" w:hAnsi="Times New Roman"/>
          <w:b w:val="false"/>
          <w:i w:val="false"/>
          <w:color w:val="000000"/>
          <w:sz w:val="21"/>
        </w:rPr>
        <w:t>[Filed 7/6/90, Notice 2/21/90—published 7/25/90, effective 8/29/90]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3/28/91, Notice 11/28/90—published 4/17/91, effective 5/22/91]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10/9/92, Notice 3/18/92—published 10/28/92, effective 12/27/92]</w:t>
      </w:r>
    </w:p>
    <w:p>
      <w:pPr>
        <w:spacing w:before="0" w:after="0"/>
        <w:ind w:left="120"/>
        <w:jc w:val="center"/>
      </w:pPr>
      <w:r>
        <w:rPr>
          <w:rFonts w:ascii="Times New Roman" w:hAnsi="Times New Roman"/>
          <w:b w:val="false"/>
          <w:i w:val="false"/>
          <w:color w:val="000000"/>
          <w:sz w:val="21"/>
        </w:rPr>
        <w:t>[Filed 1/15/93, Notice 10/28/92—published 2/3/93, effective 3/10/93]</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7/27/93, Notice 4/14/93—published 8/18/93, effective 9/22/93]</w:t>
      </w:r>
    </w:p>
    <w:p>
      <w:pPr>
        <w:spacing w:before="0" w:after="0"/>
        <w:ind w:left="120"/>
        <w:jc w:val="center"/>
      </w:pPr>
      <w:r>
        <w:rPr>
          <w:rFonts w:ascii="Times New Roman" w:hAnsi="Times New Roman"/>
          <w:b w:val="false"/>
          <w:i w:val="false"/>
          <w:color w:val="000000"/>
          <w:sz w:val="21"/>
        </w:rPr>
        <w:t>[Filed 8/27/93, Notices 1/6/93, 5/26/93—published 9/15/93, effective 10/20/93]</w:t>
      </w:r>
    </w:p>
    <w:p>
      <w:pPr>
        <w:spacing w:before="0" w:after="0"/>
        <w:ind w:left="120"/>
        <w:jc w:val="center"/>
      </w:pPr>
      <w:r>
        <w:rPr>
          <w:rFonts w:ascii="Times New Roman" w:hAnsi="Times New Roman"/>
          <w:b w:val="false"/>
          <w:i w:val="false"/>
          <w:color w:val="000000"/>
          <w:sz w:val="21"/>
        </w:rPr>
        <w:t>[Filed 4/24/95,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8/23/06, Notice 6/21/06—published 9/13/06, effective 10/18/06]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4893C</w:t>
      </w:r>
      <w:r>
        <w:rPr>
          <w:rFonts w:ascii="Times New Roman" w:hAnsi="Times New Roman"/>
          <w:b w:val="false"/>
          <w:i w:val="false"/>
          <w:color w:val="000000"/>
          <w:sz w:val="21"/>
        </w:rPr>
        <w:t xml:space="preserve"> (Notice ARC 4537C, IAB 7/17/19)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8430C</w:t>
      </w:r>
      <w:r>
        <w:rPr>
          <w:rFonts w:ascii="Times New Roman" w:hAnsi="Times New Roman"/>
          <w:b w:val="false"/>
          <w:i w:val="false"/>
          <w:color w:val="000000"/>
          <w:sz w:val="21"/>
        </w:rPr>
        <w:t xml:space="preserve"> (Notice ARC 7939C, IAB 5/15/24)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Objection to emergency filing—filed 9/15/81</w:t>
      </w:r>
    </w:p>
    <w:p>
      <w:pPr>
        <w:pBdr>
          <w:bottom w:space="2"/>
        </w:pBdr>
        <w:spacing w:before="0" w:after="0"/>
        <w:ind w:left="120"/>
        <w:jc w:val="both"/>
      </w:pPr>
      <w:r>
        <w:rPr>
          <w:rFonts w:ascii="Times New Roman" w:hAnsi="Times New Roman"/>
          <w:b w:val="false"/>
          <w:i w:val="false"/>
          <w:color w:val="000000"/>
          <w:sz w:val="22"/>
        </w:rPr>
        <w:t>Effective date of 7.4(1)</w:t>
      </w:r>
      <w:r>
        <w:rPr>
          <w:rFonts w:ascii="Times New Roman" w:hAnsi="Times New Roman"/>
          <w:b w:val="false"/>
          <w:i/>
          <w:color w:val="000000"/>
          <w:sz w:val="22"/>
        </w:rPr>
        <w:t>“f”</w:t>
      </w:r>
      <w:r>
        <w:rPr>
          <w:rFonts w:ascii="Times New Roman" w:hAnsi="Times New Roman"/>
          <w:b w:val="false"/>
          <w:i w:val="false"/>
          <w:color w:val="000000"/>
          <w:sz w:val="22"/>
        </w:rPr>
        <w:t>(2)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Utilities Division, IAB 7/30/86</w:t>
      </w:r>
    </w:p>
    <w:p>
      <w:pPr>
        <w:pBdr>
          <w:bottom w:space="2"/>
        </w:pBdr>
        <w:spacing w:before="0" w:after="0"/>
        <w:ind w:left="120"/>
        <w:jc w:val="both"/>
      </w:pPr>
      <w:r>
        <w:rPr>
          <w:rFonts w:ascii="Times New Roman" w:hAnsi="Times New Roman"/>
          <w:b w:val="false"/>
          <w:i w:val="false"/>
          <w:color w:val="000000"/>
          <w:sz w:val="22"/>
        </w:rPr>
        <w:t>Effective date of subrule 7.1(8) delayed 70 days by the Administrative Rules Review Committee at its meeting held October 10, 2006.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rule/199.7.1.pdf" Type="http://schemas.openxmlformats.org/officeDocument/2006/relationships/hyperlink" Id="rId6"/>
    <Relationship TargetMode="External" Target="https://www.legis.iowa.gov/docs/iac/chapter/199.26.pdf" Type="http://schemas.openxmlformats.org/officeDocument/2006/relationships/hyperlink" Id="rId7"/>
    <Relationship TargetMode="External" Target="https://www.legis.iowa.gov/docs/iac/rule/199.32.9.pdf" Type="http://schemas.openxmlformats.org/officeDocument/2006/relationships/hyperlink" Id="rId8"/>
    <Relationship TargetMode="External" Target="https://www.legis.iowa.gov/docs/iac/rule/199.32.9.pdf" Type="http://schemas.openxmlformats.org/officeDocument/2006/relationships/hyperlink" Id="rId9"/>
    <Relationship TargetMode="External" Target="https://www.legis.iowa.gov/docs/iac/rule/199.32.9.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7.1.pdf" Type="http://schemas.openxmlformats.org/officeDocument/2006/relationships/hyperlink" Id="rId13"/>
    <Relationship TargetMode="External" Target="https://www.legis.iowa.gov/docs/iac/rule/199.1.3.pdf" Type="http://schemas.openxmlformats.org/officeDocument/2006/relationships/hyperlink" Id="rId14"/>
    <Relationship TargetMode="External" Target="https://www.legis.iowa.gov/docs/iac/rule/199.7.1.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C.pdf" Type="http://schemas.openxmlformats.org/officeDocument/2006/relationships/hyperlink" Id="rId17"/>
    <Relationship TargetMode="External" Target="https://www.legis.iowa.gov/docs/ico/chapter/477.pdf" Type="http://schemas.openxmlformats.org/officeDocument/2006/relationships/hyperlink" Id="rId18"/>
    <Relationship TargetMode="External" Target="https://www.legis.iowa.gov/docs/ico/chapter/477A.pdf" Type="http://schemas.openxmlformats.org/officeDocument/2006/relationships/hyperlink" Id="rId19"/>
    <Relationship TargetMode="External" Target="https://www.legis.iowa.gov/docs/ico/chapter/477C.pdf" Type="http://schemas.openxmlformats.org/officeDocument/2006/relationships/hyperlink" Id="rId20"/>
    <Relationship TargetMode="External" Target="https://www.legis.iowa.gov/docs/ico/chapter/479B.pdf" Type="http://schemas.openxmlformats.org/officeDocument/2006/relationships/hyperlink" Id="rId21"/>
    <Relationship TargetMode="External" Target="https://www.legis.iowa.gov/docs/ico/chapter/475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ac/rule/199.14.3.pdf" Type="http://schemas.openxmlformats.org/officeDocument/2006/relationships/hyperlink" Id="rId25"/>
    <Relationship TargetMode="External" Target="https://www.legis.iowa.gov/docs/ico/chapter/4.pdf" Type="http://schemas.openxmlformats.org/officeDocument/2006/relationships/hyperlink" Id="rId26"/>
    <Relationship TargetMode="External" Target="https://www.legis.iowa.gov/docs/iac/chapter/199.14.pdf" Type="http://schemas.openxmlformats.org/officeDocument/2006/relationships/hyperlink" Id="rId27"/>
    <Relationship TargetMode="External" Target="https://www.legis.iowa.gov/docs/iac/rule/199.14.3.pdf" Type="http://schemas.openxmlformats.org/officeDocument/2006/relationships/hyperlink" Id="rId28"/>
    <Relationship TargetMode="External" Target="https://www.legis.iowa.gov/docs/iac/chapter/199.14.pdf" Type="http://schemas.openxmlformats.org/officeDocument/2006/relationships/hyperlink" Id="rId29"/>
    <Relationship TargetMode="External" Target="https://www.legis.iowa.gov/docs/iac/rule/199.14.4.pdf" Type="http://schemas.openxmlformats.org/officeDocument/2006/relationships/hyperlink" Id="rId30"/>
    <Relationship TargetMode="External" Target="https://www.legis.iowa.gov/docs/iac/chapter/199.14.pdf" Type="http://schemas.openxmlformats.org/officeDocument/2006/relationships/hyperlink" Id="rId31"/>
    <Relationship TargetMode="External" Target="https://www.legis.iowa.gov/docs/iac/chapter/199.14.pdf" Type="http://schemas.openxmlformats.org/officeDocument/2006/relationships/hyperlink" Id="rId32"/>
    <Relationship TargetMode="External" Target="https://www.legis.iowa.gov/docs/iac/chapter/199.14.pdf" Type="http://schemas.openxmlformats.org/officeDocument/2006/relationships/hyperlink" Id="rId33"/>
    <Relationship TargetMode="External" Target="https://www.legis.iowa.gov/docs/iac/rule/199.7.9.pdf" Type="http://schemas.openxmlformats.org/officeDocument/2006/relationships/hyperlink" Id="rId34"/>
    <Relationship TargetMode="External" Target="https://www.legis.iowa.gov/docs/iac/rule/199.7.12.pdf" Type="http://schemas.openxmlformats.org/officeDocument/2006/relationships/hyperlink" Id="rId35"/>
    <Relationship TargetMode="External" Target="https://www.legis.iowa.gov/docs/iac/rule/199.7.13.pdf" Type="http://schemas.openxmlformats.org/officeDocument/2006/relationships/hyperlink" Id="rId36"/>
    <Relationship TargetMode="External" Target="https://www.legis.iowa.gov/docs/iac/rule/199.7.15.pdf" Type="http://schemas.openxmlformats.org/officeDocument/2006/relationships/hyperlink" Id="rId37"/>
    <Relationship TargetMode="External" Target="https://www.legis.iowa.gov/docs/iac/rule/199.7.26.pdf" Type="http://schemas.openxmlformats.org/officeDocument/2006/relationships/hyperlink" Id="rId38"/>
    <Relationship TargetMode="External" Target="https://www.legis.iowa.gov/docs/iac/rule/199.7.4.pdf" Type="http://schemas.openxmlformats.org/officeDocument/2006/relationships/hyperlink" Id="rId39"/>
    <Relationship TargetMode="External" Target="https://www.legis.iowa.gov/docs/iac/rule/199.7.4.pdf" Type="http://schemas.openxmlformats.org/officeDocument/2006/relationships/hyperlink" Id="rId40"/>
    <Relationship TargetMode="External" Target="https://www.legis.iowa.gov/docs/ico/chapter/4.pdf" Type="http://schemas.openxmlformats.org/officeDocument/2006/relationships/hyperlink" Id="rId41"/>
    <Relationship TargetMode="External" Target="https://www.legis.iowa.gov/docs/iac/chapter/199.14.pdf" Type="http://schemas.openxmlformats.org/officeDocument/2006/relationships/hyperlink" Id="rId42"/>
    <Relationship TargetMode="External" Target="http://iuc.iowa.gov" Type="http://schemas.openxmlformats.org/officeDocument/2006/relationships/hyperlink" Id="rId43"/>
    <Relationship TargetMode="External" Target="https://www.legis.iowa.gov/docs/iac/chapter/199.14.pdf" Type="http://schemas.openxmlformats.org/officeDocument/2006/relationships/hyperlink" Id="rId44"/>
    <Relationship TargetMode="External" Target="https://www.legis.iowa.gov/docs/iac/chapter/199.14.pdf" Type="http://schemas.openxmlformats.org/officeDocument/2006/relationships/hyperlink" Id="rId45"/>
    <Relationship TargetMode="External" Target="https://www.legis.iowa.gov/docs/iac/rule/199.7.15.pdf" Type="http://schemas.openxmlformats.org/officeDocument/2006/relationships/hyperlink" Id="rId46"/>
    <Relationship TargetMode="External" Target="https://www.legis.iowa.gov/docs/iac/rule/199.7.15.pdf" Type="http://schemas.openxmlformats.org/officeDocument/2006/relationships/hyperlink" Id="rId47"/>
    <Relationship TargetMode="External" Target="https://www.legis.iowa.gov/docs/iac/rule/199.7.18.pdf" Type="http://schemas.openxmlformats.org/officeDocument/2006/relationships/hyperlink" Id="rId48"/>
    <Relationship TargetMode="External" Target="https://www.legis.iowa.gov/docs/iac/chapter/199.26.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rule/199.7.10.pdf" Type="http://schemas.openxmlformats.org/officeDocument/2006/relationships/hyperlink" Id="rId52"/>
    <Relationship TargetMode="External" Target="https://www.legis.iowa.gov/docs/iac/rule/199.7.4.pdf" Type="http://schemas.openxmlformats.org/officeDocument/2006/relationships/hyperlink" Id="rId53"/>
    <Relationship TargetMode="External" Target="https://www.legis.iowa.gov/docs/iac/chapter/199.1.pdf" Type="http://schemas.openxmlformats.org/officeDocument/2006/relationships/hyperlink" Id="rId54"/>
    <Relationship TargetMode="External" Target="https://www.legis.iowa.gov/docs/iac/chapter/199.7.pdf" Type="http://schemas.openxmlformats.org/officeDocument/2006/relationships/hyperlink" Id="rId55"/>
    <Relationship TargetMode="External" Target="https://www.legis.iowa.gov/docs/iac/chapter/199.7.pdf" Type="http://schemas.openxmlformats.org/officeDocument/2006/relationships/hyperlink" Id="rId56"/>
    <Relationship TargetMode="External" Target="https://www.legis.iowa.gov/docs/iac/chapter/199.7.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ac/rule/199.7.28.pdf" Type="http://schemas.openxmlformats.org/officeDocument/2006/relationships/hyperlink" Id="rId59"/>
    <Relationship TargetMode="External" Target="https://www.legis.iowa.gov/docs/iac/rule/199.7.9.pdf" Type="http://schemas.openxmlformats.org/officeDocument/2006/relationships/hyperlink" Id="rId60"/>
    <Relationship TargetMode="External" Target="https://www.legis.iowa.gov/docs/iac/rule/199.7.4.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17A.pdf" Type="http://schemas.openxmlformats.org/officeDocument/2006/relationships/hyperlink" Id="rId64"/>
    <Relationship TargetMode="External" Target="https://www.legis.iowa.gov/docs/ico/chapter/474.pdf" Type="http://schemas.openxmlformats.org/officeDocument/2006/relationships/hyperlink" Id="rId65"/>
    <Relationship TargetMode="External" Target="https://www.legis.iowa.gov/docs/ico/chapter/476.pdf" Type="http://schemas.openxmlformats.org/officeDocument/2006/relationships/hyperlink"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